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Lines="50" w:line="480" w:lineRule="auto"/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鹤山市人民检察院信息化机房升级改造项目监理服务</w:t>
      </w:r>
    </w:p>
    <w:p>
      <w:pPr>
        <w:numPr>
          <w:ilvl w:val="0"/>
          <w:numId w:val="0"/>
        </w:numPr>
        <w:spacing w:beforeLines="50" w:line="480" w:lineRule="auto"/>
        <w:jc w:val="center"/>
      </w:pPr>
      <w:r>
        <w:rPr>
          <w:rFonts w:hint="eastAsia"/>
          <w:sz w:val="32"/>
          <w:szCs w:val="40"/>
          <w:lang w:val="en-US" w:eastAsia="zh-CN"/>
        </w:rPr>
        <w:t>采购需求</w:t>
      </w:r>
    </w:p>
    <w:p>
      <w:pPr>
        <w:numPr>
          <w:ilvl w:val="0"/>
          <w:numId w:val="2"/>
        </w:numPr>
        <w:spacing w:beforeLines="50" w:line="480" w:lineRule="auto"/>
        <w:jc w:val="both"/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招标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概况</w:t>
      </w:r>
      <w:bookmarkStart w:id="0" w:name="_GoBack"/>
      <w:bookmarkEnd w:id="0"/>
    </w:p>
    <w:p>
      <w:pPr>
        <w:widowControl w:val="0"/>
        <w:numPr>
          <w:ilvl w:val="0"/>
          <w:numId w:val="3"/>
        </w:numPr>
        <w:wordWrap/>
        <w:adjustRightInd/>
        <w:snapToGrid/>
        <w:spacing w:line="360" w:lineRule="auto"/>
        <w:ind w:left="0" w:leftChars="0" w:right="0" w:firstLine="40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服务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概况：对我院信息化机房升级改造项目（以下简称“项目”）提供监理服务，项目建设内容主要包括机房电器及动环改造、机房装修、机房设备搬迁和视频监控系统改造等。本项目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中标金额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1,591,585.24元人民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币,完工期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4个月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360" w:lineRule="auto"/>
        <w:ind w:left="0" w:leftChars="0" w:right="0" w:firstLine="40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服务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预算：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元。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360" w:lineRule="auto"/>
        <w:ind w:left="0" w:leftChars="0" w:right="0" w:firstLine="40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服务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实施地点：鹤山市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人民检察院中心机房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360" w:lineRule="auto"/>
        <w:ind w:left="0" w:leftChars="0" w:right="0" w:firstLine="40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服务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期：自合同签订生效之日起至鹤山市人民检察院信息化机房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升级改造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项目竣工验收合格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360" w:lineRule="auto"/>
        <w:ind w:left="0" w:leftChars="0" w:right="0" w:firstLine="40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现场探勘：投标人应对投标文件的内容及报价负责，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如需进行现场探勘的请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自行到项目现场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进行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现场踏勘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，相关费用自理。</w:t>
      </w:r>
    </w:p>
    <w:p>
      <w:pPr>
        <w:widowControl w:val="0"/>
        <w:numPr>
          <w:ilvl w:val="0"/>
          <w:numId w:val="4"/>
        </w:numPr>
        <w:wordWrap/>
        <w:adjustRightInd/>
        <w:snapToGrid/>
        <w:spacing w:line="48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服务范围和内容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本监理服务工作包括但不限于以下内容：</w:t>
      </w:r>
    </w:p>
    <w:p>
      <w:pPr>
        <w:pStyle w:val="3"/>
        <w:spacing w:line="360" w:lineRule="auto"/>
        <w:ind w:firstLine="567"/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(一）质量控制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1、依据招标文件、投标文件、合同和设计单位制定的技术规范书，审查、监督、控制项目设备采购及设备安装、软件开发的质量；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2、采取事前预防、事中控制、事后纠正的监理方式，依据国家法律、法规、标准以及项目合同、设计方案、监理规划、监理实施细则等文件控制项目工程质量；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3、根据各子项目的特点，制定包括设备的到货验收标准，验收方法；制定设备安装监理控制方案；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4、编制重大质量问题的处理预案，包括设备采购、设备运输、设备安装过程中可能出现的重大质量问题的处理预案；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5、组织设备安装工程质量事故的原因调查、问题分析、问题评估、事故处理；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6、组织设备安装质量检查和验收；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7、督促设备安装施工方整改存在问题；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8、参与工程竣工验收和交接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（二）进度控制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1、审查各子项目的设备安装进度计划，监督计划的执行；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2、采用先进的项目管理工具，确定各子项目设备采购的到货顺序，设备安装的工序顺序，控制项目施工进度；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3、发现设备采购与安装进程未能按计划进行时，要求设备采购与安装方调整或修改计划，采取必要措施加快采购进度，以使实际施工进度符合合同的要求；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4、当设备采购与安装进度拖后可能导致合同工期严重延误时，有责任作详细报告分析原因和提出对策，供采购人采取措施或做出决定。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）合同管理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1、协助采购人与施工方签订合同；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2、监督检查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施工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方履行合同；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3、协助采购人处理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工程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实施的每个过程出现的违约、索赔、延期、分包、纠纷调解及仲裁等问题。</w:t>
      </w:r>
    </w:p>
    <w:p>
      <w:pPr>
        <w:pStyle w:val="3"/>
        <w:spacing w:line="360" w:lineRule="auto"/>
        <w:ind w:firstLine="567"/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）信息管理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1、及时向采购人提交反映项目动态和监理工作情况的项目文档；</w:t>
      </w:r>
    </w:p>
    <w:p>
      <w:pPr>
        <w:pStyle w:val="3"/>
        <w:tabs>
          <w:tab w:val="left" w:pos="993"/>
        </w:tabs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2、建立全面、准确反映项目各阶段工程状况的图表、文档，收集、管理项目各类文档和资料；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3、督促、检查施工方及时完成各阶段设备资料、工程技术资料的整理和归档工作；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4、转发采购人发出的一切指示、通知和业务联系单；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5、定期公布项目质量、进度、就项目中存在或出现的问题向采购人、设备采购方、设计单位提出独立、公正、公平的意见建议或解决方案；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6、当采购设备出现质量问题或严重偏离计划时，应及时向采购人报告，并提出对策建议，同时督促施工方尽快采取措施。</w:t>
      </w:r>
    </w:p>
    <w:p>
      <w:pPr>
        <w:pStyle w:val="3"/>
        <w:spacing w:line="360" w:lineRule="auto"/>
        <w:ind w:firstLine="567"/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）组织协调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1、监督各方履行职责，协调各方的工作关系；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2、建立畅通的沟通平台和沟通渠道，采取有效措施使项目信息在有关各方之间保持顺畅流通，积极协调项目各方之间的关系，推动项目实施过程中问题的解决。</w:t>
      </w:r>
    </w:p>
    <w:p>
      <w:pPr>
        <w:pStyle w:val="3"/>
        <w:spacing w:line="360" w:lineRule="auto"/>
        <w:ind w:firstLine="567"/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）设备安装施工安全监督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1、检查督促施工方建立、完善安全生产制度；</w:t>
      </w:r>
    </w:p>
    <w:p>
      <w:pPr>
        <w:pStyle w:val="3"/>
        <w:spacing w:line="360" w:lineRule="auto"/>
        <w:ind w:firstLine="567"/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2、组织工程安全事故的调查与处理；</w:t>
      </w:r>
    </w:p>
    <w:p>
      <w:pPr>
        <w:pStyle w:val="3"/>
        <w:spacing w:line="360" w:lineRule="auto"/>
        <w:ind w:firstLine="567"/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3、确立项目安全监督的工作目标。</w:t>
      </w:r>
    </w:p>
    <w:p>
      <w:pPr>
        <w:pStyle w:val="3"/>
        <w:spacing w:line="360" w:lineRule="auto"/>
        <w:ind w:firstLine="567"/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项目的整体验收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组织和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参与验收并确认是否达到项目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实施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目标。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督促施工方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完成项目验收报告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审核施工方的工程量清单和工程竣工结算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4"/>
        </w:numPr>
        <w:wordWrap/>
        <w:adjustRightInd/>
        <w:snapToGrid/>
        <w:spacing w:line="480" w:lineRule="auto"/>
        <w:ind w:right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商务要求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1、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投标人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信息系统项目监理资质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为证明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投标人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的实力，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投标人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需具备信息系统项目管理师证书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和全过程项目管理师证书的人员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Style w:val="3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3、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投标人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应具有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年或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以上服务于政府部门信息化建设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的监理服务的能力和经验。</w:t>
      </w:r>
    </w:p>
    <w:p>
      <w:pPr>
        <w:pStyle w:val="3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4、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投标人应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具备投资额在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万元以上的项目监理经验，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提供监理合同或验收报告复印件。</w:t>
      </w:r>
    </w:p>
    <w:p>
      <w:pPr>
        <w:widowControl w:val="0"/>
        <w:numPr>
          <w:numId w:val="0"/>
        </w:numPr>
        <w:wordWrap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5、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本项目的监理工程师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同时具有信息系统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监理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师证书，并且从事信息工程监理工作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年及以上。</w:t>
      </w:r>
    </w:p>
    <w:p>
      <w:pPr>
        <w:pStyle w:val="3"/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6、本项目的监理工程师应是本公司人员，严禁挂靠，需提供其在本公司购买的近一年的社保证明。</w:t>
      </w: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</w:p>
    <w:p>
      <w:pPr>
        <w:pStyle w:val="3"/>
        <w:spacing w:line="360" w:lineRule="auto"/>
        <w:ind w:firstLine="567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240" w:firstLineChars="100"/>
        <w:jc w:val="righ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鹤山市人民检察院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right"/>
        <w:rPr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日</w:t>
      </w:r>
    </w:p>
    <w:sectPr>
      <w:pgSz w:w="11906" w:h="16838"/>
      <w:pgMar w:top="1440" w:right="1440" w:bottom="144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Helvetica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6AF2"/>
    <w:multiLevelType w:val="multilevel"/>
    <w:tmpl w:val="39B76AF2"/>
    <w:lvl w:ilvl="0" w:tentative="0">
      <w:start w:val="1"/>
      <w:numFmt w:val="decimal"/>
      <w:lvlText w:val="%1、"/>
      <w:lvlJc w:val="left"/>
      <w:pPr>
        <w:tabs>
          <w:tab w:val="left" w:pos="1271"/>
        </w:tabs>
        <w:ind w:left="851" w:firstLine="0"/>
      </w:pPr>
      <w:rPr>
        <w:rFonts w:hint="default" w:ascii="Times New Roman" w:hAnsi="Times New Roman" w:eastAsia="黑体"/>
        <w:b w:val="0"/>
        <w:i w:val="0"/>
        <w:sz w:val="28"/>
        <w:szCs w:val="28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420"/>
        </w:tabs>
        <w:ind w:left="0" w:firstLine="0"/>
      </w:pPr>
      <w:rPr>
        <w:rFonts w:hint="default" w:ascii="Times New Roman" w:hAnsi="Times New Roman" w:eastAsia="黑体"/>
        <w:b w:val="0"/>
        <w:i w:val="0"/>
        <w:sz w:val="24"/>
        <w:szCs w:val="24"/>
      </w:rPr>
    </w:lvl>
    <w:lvl w:ilvl="2" w:tentative="0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 w:ascii="Times New Roman" w:hAnsi="Times New Roman" w:eastAsia="黑体"/>
        <w:sz w:val="24"/>
        <w:szCs w:val="24"/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289"/>
      </w:pPr>
      <w:rPr>
        <w:rFonts w:hint="default" w:ascii="Times New Roman" w:hAnsi="Times New Roman" w:eastAsia="黑体"/>
        <w:sz w:val="24"/>
        <w:szCs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922"/>
        </w:tabs>
        <w:ind w:left="5102" w:hanging="1700"/>
      </w:pPr>
      <w:rPr>
        <w:rFonts w:hint="eastAsia"/>
      </w:rPr>
    </w:lvl>
  </w:abstractNum>
  <w:abstractNum w:abstractNumId="1">
    <w:nsid w:val="607E97C8"/>
    <w:multiLevelType w:val="singleLevel"/>
    <w:tmpl w:val="607E97C8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608539BB"/>
    <w:multiLevelType w:val="singleLevel"/>
    <w:tmpl w:val="608539BB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3">
    <w:nsid w:val="61405924"/>
    <w:multiLevelType w:val="singleLevel"/>
    <w:tmpl w:val="6140592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D842FEA"/>
    <w:rsid w:val="23C650D3"/>
    <w:rsid w:val="2C003BC4"/>
    <w:rsid w:val="5276510B"/>
    <w:rsid w:val="7A395B2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numPr>
        <w:ilvl w:val="1"/>
        <w:numId w:val="1"/>
      </w:numPr>
      <w:tabs>
        <w:tab w:val="left" w:pos="1130"/>
        <w:tab w:val="left" w:pos="1271"/>
      </w:tabs>
      <w:spacing w:before="120" w:after="120" w:line="240" w:lineRule="auto"/>
      <w:ind w:firstLineChars="0"/>
      <w:jc w:val="left"/>
      <w:outlineLvl w:val="1"/>
    </w:pPr>
    <w:rPr>
      <w:rFonts w:ascii="黑体" w:hAnsi="黑体" w:eastAsia="黑体"/>
      <w:color w:val="000000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  <w:kern w:val="0"/>
      <w:sz w:val="20"/>
      <w:szCs w:val="20"/>
    </w:rPr>
  </w:style>
  <w:style w:type="paragraph" w:customStyle="1" w:styleId="6">
    <w:name w:val="表格(五号)"/>
    <w:basedOn w:val="1"/>
    <w:qFormat/>
    <w:uiPriority w:val="0"/>
    <w:pPr>
      <w:snapToGrid w:val="0"/>
      <w:spacing w:before="60" w:after="60" w:line="240" w:lineRule="auto"/>
      <w:ind w:left="11" w:firstLine="0" w:firstLineChars="0"/>
      <w:jc w:val="center"/>
      <w:textAlignment w:val="auto"/>
    </w:pPr>
    <w:rPr>
      <w:sz w:val="21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6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2021-10-19T09:35:00Z</cp:lastPrinted>
  <dcterms:modified xsi:type="dcterms:W3CDTF">2022-06-16T08:14:24Z</dcterms:modified>
  <dc:title>鹤山市人民检察院增加围墙监控项目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