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jc w:val="center"/>
        <w:rPr>
          <w:sz w:val="36"/>
          <w:szCs w:val="36"/>
        </w:rPr>
      </w:pPr>
      <w:r>
        <w:rPr>
          <w:rFonts w:hint="eastAsia"/>
          <w:sz w:val="36"/>
          <w:szCs w:val="36"/>
        </w:rPr>
        <w:t>评标细则（综合评分法）</w:t>
      </w:r>
    </w:p>
    <w:p>
      <w:pPr>
        <w:pStyle w:val="3"/>
        <w:spacing w:line="360" w:lineRule="auto"/>
        <w:ind w:left="0"/>
        <w:jc w:val="left"/>
        <w:rPr>
          <w:b/>
        </w:rPr>
      </w:pPr>
      <w:bookmarkStart w:id="0" w:name="_Toc504657623"/>
      <w:bookmarkStart w:id="1" w:name="_Toc534975136"/>
      <w:r>
        <w:rPr>
          <w:rFonts w:hint="eastAsia" w:ascii="宋体" w:hAnsi="宋体" w:cs="宋体"/>
          <w:b/>
        </w:rPr>
        <w:t>1.评审标准</w:t>
      </w:r>
      <w:bookmarkEnd w:id="0"/>
      <w:bookmarkEnd w:id="1"/>
    </w:p>
    <w:p>
      <w:pPr>
        <w:spacing w:line="360" w:lineRule="auto"/>
        <w:ind w:firstLine="420" w:firstLineChars="200"/>
        <w:rPr>
          <w:rFonts w:ascii="宋体" w:hAnsi="宋体"/>
          <w:sz w:val="24"/>
          <w:szCs w:val="24"/>
        </w:rPr>
      </w:pPr>
      <w:r>
        <w:rPr>
          <w:rFonts w:hint="eastAsia" w:ascii="宋体" w:hAnsi="宋体"/>
          <w:sz w:val="24"/>
          <w:szCs w:val="24"/>
        </w:rPr>
        <w:t>评标以招标文件规定的条件为依据。评委会对所有有效投标人从商务、技术和价格三个方面进行综合评分</w:t>
      </w:r>
      <w:r>
        <w:rPr>
          <w:rFonts w:hint="eastAsia" w:ascii="宋体" w:hAnsi="宋体"/>
          <w:sz w:val="24"/>
          <w:szCs w:val="24"/>
          <w:lang w:eastAsia="zh-CN"/>
        </w:rPr>
        <w:t>，总分</w:t>
      </w:r>
      <w:r>
        <w:rPr>
          <w:rFonts w:hint="eastAsia" w:ascii="宋体" w:hAnsi="宋体"/>
          <w:sz w:val="24"/>
          <w:szCs w:val="24"/>
          <w:lang w:val="en-US" w:eastAsia="zh-CN"/>
        </w:rPr>
        <w:t>100分，</w:t>
      </w:r>
      <w:bookmarkStart w:id="4" w:name="_GoBack"/>
      <w:bookmarkEnd w:id="4"/>
      <w:r>
        <w:rPr>
          <w:rFonts w:hint="eastAsia" w:ascii="宋体" w:hAnsi="宋体"/>
          <w:sz w:val="24"/>
          <w:szCs w:val="24"/>
          <w:lang w:eastAsia="zh-CN"/>
        </w:rPr>
        <w:t>各占比例如下表：</w:t>
      </w:r>
    </w:p>
    <w:tbl>
      <w:tblPr>
        <w:tblStyle w:val="11"/>
        <w:tblpPr w:leftFromText="180" w:rightFromText="180" w:vertAnchor="text" w:horzAnchor="page" w:tblpX="1509" w:tblpY="409"/>
        <w:tblOverlap w:val="never"/>
        <w:tblW w:w="9087"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2271"/>
        <w:gridCol w:w="2272"/>
        <w:gridCol w:w="2272"/>
        <w:gridCol w:w="2272"/>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c>
          <w:tcPr>
            <w:tcW w:w="2271"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b/>
                <w:bCs/>
                <w:sz w:val="24"/>
                <w:szCs w:val="24"/>
              </w:rPr>
            </w:pPr>
            <w:r>
              <w:rPr>
                <w:b/>
                <w:bCs/>
                <w:sz w:val="24"/>
                <w:szCs w:val="24"/>
              </w:rPr>
              <w:t>评分项目</w:t>
            </w:r>
          </w:p>
        </w:tc>
        <w:tc>
          <w:tcPr>
            <w:tcW w:w="2272"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b/>
                <w:bCs/>
                <w:sz w:val="24"/>
                <w:szCs w:val="24"/>
              </w:rPr>
            </w:pPr>
            <w:r>
              <w:rPr>
                <w:b/>
                <w:bCs/>
                <w:sz w:val="24"/>
                <w:szCs w:val="24"/>
              </w:rPr>
              <w:t>技术评分</w:t>
            </w:r>
          </w:p>
        </w:tc>
        <w:tc>
          <w:tcPr>
            <w:tcW w:w="2272"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b/>
                <w:bCs/>
                <w:sz w:val="24"/>
                <w:szCs w:val="24"/>
              </w:rPr>
            </w:pPr>
            <w:r>
              <w:rPr>
                <w:rFonts w:hint="eastAsia"/>
                <w:b/>
                <w:bCs/>
                <w:sz w:val="24"/>
                <w:szCs w:val="24"/>
                <w:lang w:val="en-US" w:eastAsia="zh-CN"/>
              </w:rPr>
              <w:t>商务</w:t>
            </w:r>
            <w:r>
              <w:rPr>
                <w:b/>
                <w:bCs/>
                <w:sz w:val="24"/>
                <w:szCs w:val="24"/>
              </w:rPr>
              <w:t>评分</w:t>
            </w:r>
          </w:p>
        </w:tc>
        <w:tc>
          <w:tcPr>
            <w:tcW w:w="2272"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b/>
                <w:bCs/>
                <w:sz w:val="24"/>
                <w:szCs w:val="24"/>
              </w:rPr>
            </w:pPr>
            <w:r>
              <w:rPr>
                <w:b/>
                <w:bCs/>
                <w:sz w:val="24"/>
                <w:szCs w:val="24"/>
              </w:rPr>
              <w:t>价格评分</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c>
          <w:tcPr>
            <w:tcW w:w="2271" w:type="dxa"/>
            <w:tcBorders>
              <w:top w:val="outset" w:color="111111" w:sz="6" w:space="0"/>
              <w:left w:val="outset" w:color="111111" w:sz="6" w:space="0"/>
              <w:bottom w:val="outset" w:color="111111" w:sz="6" w:space="0"/>
              <w:right w:val="outset" w:color="111111" w:sz="6" w:space="0"/>
            </w:tcBorders>
            <w:textDirection w:val="lrTb"/>
            <w:vAlign w:val="center"/>
          </w:tcPr>
          <w:p>
            <w:pPr>
              <w:jc w:val="center"/>
              <w:rPr>
                <w:b/>
                <w:bCs/>
                <w:sz w:val="24"/>
                <w:szCs w:val="24"/>
              </w:rPr>
            </w:pPr>
            <w:r>
              <w:rPr>
                <w:rFonts w:hint="eastAsia" w:ascii="宋体" w:hAnsi="宋体"/>
                <w:b/>
                <w:bCs/>
                <w:sz w:val="24"/>
                <w:szCs w:val="24"/>
                <w:lang w:eastAsia="zh-CN"/>
              </w:rPr>
              <w:t>评标</w:t>
            </w:r>
            <w:r>
              <w:rPr>
                <w:rFonts w:hint="eastAsia" w:ascii="宋体" w:hAnsi="宋体"/>
                <w:b/>
                <w:bCs/>
                <w:sz w:val="24"/>
                <w:szCs w:val="24"/>
              </w:rPr>
              <w:t>分数</w:t>
            </w:r>
          </w:p>
        </w:tc>
        <w:tc>
          <w:tcPr>
            <w:tcW w:w="2272" w:type="dxa"/>
            <w:tcBorders>
              <w:top w:val="outset" w:color="111111" w:sz="6" w:space="0"/>
              <w:left w:val="outset" w:color="111111" w:sz="6" w:space="0"/>
              <w:bottom w:val="outset" w:color="111111" w:sz="6" w:space="0"/>
              <w:right w:val="outset" w:color="111111" w:sz="6" w:space="0"/>
            </w:tcBorders>
            <w:textDirection w:val="lrTb"/>
            <w:vAlign w:val="center"/>
          </w:tcPr>
          <w:p>
            <w:pPr>
              <w:jc w:val="center"/>
              <w:rPr>
                <w:rFonts w:hint="eastAsia"/>
                <w:b/>
                <w:bCs/>
                <w:sz w:val="24"/>
                <w:szCs w:val="24"/>
              </w:rPr>
            </w:pPr>
            <w:r>
              <w:rPr>
                <w:rFonts w:hint="eastAsia" w:ascii="宋体" w:hAnsi="宋体"/>
                <w:b/>
                <w:bCs/>
                <w:sz w:val="24"/>
                <w:szCs w:val="24"/>
                <w:u w:val="single"/>
                <w:lang w:val="en-US" w:eastAsia="zh-CN"/>
              </w:rPr>
              <w:t>40</w:t>
            </w:r>
            <w:r>
              <w:rPr>
                <w:rFonts w:hint="eastAsia" w:ascii="宋体" w:hAnsi="宋体"/>
                <w:b/>
                <w:bCs/>
                <w:sz w:val="24"/>
                <w:szCs w:val="24"/>
              </w:rPr>
              <w:t>分</w:t>
            </w:r>
          </w:p>
        </w:tc>
        <w:tc>
          <w:tcPr>
            <w:tcW w:w="2272" w:type="dxa"/>
            <w:tcBorders>
              <w:top w:val="outset" w:color="111111" w:sz="6" w:space="0"/>
              <w:left w:val="outset" w:color="111111" w:sz="6" w:space="0"/>
              <w:bottom w:val="outset" w:color="111111" w:sz="6" w:space="0"/>
              <w:right w:val="outset" w:color="111111" w:sz="6" w:space="0"/>
            </w:tcBorders>
            <w:textDirection w:val="lrTb"/>
            <w:vAlign w:val="center"/>
          </w:tcPr>
          <w:p>
            <w:pPr>
              <w:jc w:val="center"/>
              <w:rPr>
                <w:b/>
                <w:bCs/>
                <w:sz w:val="24"/>
                <w:szCs w:val="24"/>
              </w:rPr>
            </w:pPr>
            <w:r>
              <w:rPr>
                <w:rFonts w:hint="eastAsia" w:ascii="宋体" w:hAnsi="宋体"/>
                <w:b/>
                <w:bCs/>
                <w:sz w:val="24"/>
                <w:szCs w:val="24"/>
                <w:u w:val="single"/>
                <w:lang w:val="en-US" w:eastAsia="zh-CN"/>
              </w:rPr>
              <w:t>30</w:t>
            </w:r>
            <w:r>
              <w:rPr>
                <w:rFonts w:hint="eastAsia" w:ascii="宋体" w:hAnsi="宋体"/>
                <w:b/>
                <w:bCs/>
                <w:sz w:val="24"/>
                <w:szCs w:val="24"/>
              </w:rPr>
              <w:t>分</w:t>
            </w:r>
          </w:p>
        </w:tc>
        <w:tc>
          <w:tcPr>
            <w:tcW w:w="2272" w:type="dxa"/>
            <w:tcBorders>
              <w:top w:val="outset" w:color="111111" w:sz="6" w:space="0"/>
              <w:left w:val="outset" w:color="111111" w:sz="6" w:space="0"/>
              <w:bottom w:val="outset" w:color="111111" w:sz="6" w:space="0"/>
              <w:right w:val="outset" w:color="111111" w:sz="6" w:space="0"/>
            </w:tcBorders>
            <w:textDirection w:val="lrTb"/>
            <w:vAlign w:val="center"/>
          </w:tcPr>
          <w:p>
            <w:pPr>
              <w:jc w:val="center"/>
              <w:rPr>
                <w:rFonts w:hint="eastAsia"/>
                <w:b/>
                <w:bCs/>
                <w:sz w:val="24"/>
                <w:szCs w:val="24"/>
              </w:rPr>
            </w:pPr>
            <w:r>
              <w:rPr>
                <w:rFonts w:hint="eastAsia" w:ascii="宋体" w:hAnsi="宋体"/>
                <w:b/>
                <w:bCs/>
                <w:sz w:val="24"/>
                <w:szCs w:val="24"/>
                <w:u w:val="single"/>
                <w:lang w:val="en-US" w:eastAsia="zh-CN"/>
              </w:rPr>
              <w:t>30</w:t>
            </w:r>
            <w:r>
              <w:rPr>
                <w:rFonts w:hint="eastAsia" w:ascii="宋体" w:hAnsi="宋体"/>
                <w:b/>
                <w:bCs/>
                <w:sz w:val="24"/>
                <w:szCs w:val="24"/>
              </w:rPr>
              <w:t>分</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c>
          <w:tcPr>
            <w:tcW w:w="2271"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b/>
                <w:bCs/>
                <w:sz w:val="24"/>
                <w:szCs w:val="24"/>
              </w:rPr>
            </w:pPr>
            <w:r>
              <w:rPr>
                <w:b/>
                <w:bCs/>
                <w:sz w:val="24"/>
                <w:szCs w:val="24"/>
              </w:rPr>
              <w:t>权重</w:t>
            </w:r>
          </w:p>
        </w:tc>
        <w:tc>
          <w:tcPr>
            <w:tcW w:w="2272" w:type="dxa"/>
            <w:tcBorders>
              <w:top w:val="outset" w:color="111111" w:sz="6" w:space="0"/>
              <w:left w:val="outset" w:color="111111" w:sz="6" w:space="0"/>
              <w:bottom w:val="outset" w:color="111111" w:sz="6" w:space="0"/>
              <w:right w:val="outset" w:color="111111" w:sz="6" w:space="0"/>
            </w:tcBorders>
            <w:textDirection w:val="lrTb"/>
            <w:vAlign w:val="center"/>
          </w:tcPr>
          <w:p>
            <w:pPr>
              <w:jc w:val="center"/>
              <w:rPr>
                <w:rFonts w:ascii="宋体" w:hAnsi="宋体" w:cs="宋体"/>
                <w:b/>
                <w:bCs/>
                <w:sz w:val="24"/>
                <w:szCs w:val="24"/>
              </w:rPr>
            </w:pPr>
            <w:r>
              <w:rPr>
                <w:rFonts w:hint="eastAsia" w:ascii="宋体" w:hAnsi="宋体"/>
                <w:b/>
                <w:bCs/>
                <w:sz w:val="24"/>
                <w:szCs w:val="24"/>
                <w:lang w:val="en-US" w:eastAsia="zh-CN"/>
              </w:rPr>
              <w:t>40%</w:t>
            </w:r>
          </w:p>
        </w:tc>
        <w:tc>
          <w:tcPr>
            <w:tcW w:w="2272" w:type="dxa"/>
            <w:tcBorders>
              <w:top w:val="outset" w:color="111111" w:sz="6" w:space="0"/>
              <w:left w:val="outset" w:color="111111" w:sz="6" w:space="0"/>
              <w:bottom w:val="outset" w:color="111111" w:sz="6" w:space="0"/>
              <w:right w:val="outset" w:color="111111" w:sz="6" w:space="0"/>
            </w:tcBorders>
            <w:textDirection w:val="lrTb"/>
            <w:vAlign w:val="center"/>
          </w:tcPr>
          <w:p>
            <w:pPr>
              <w:jc w:val="center"/>
              <w:rPr>
                <w:rFonts w:ascii="宋体" w:hAnsi="宋体" w:cs="宋体"/>
                <w:b/>
                <w:bCs/>
                <w:sz w:val="24"/>
                <w:szCs w:val="24"/>
              </w:rPr>
            </w:pPr>
            <w:r>
              <w:rPr>
                <w:rFonts w:hint="eastAsia" w:ascii="宋体" w:hAnsi="宋体"/>
                <w:b/>
                <w:bCs/>
                <w:sz w:val="24"/>
                <w:szCs w:val="24"/>
                <w:lang w:val="en-US" w:eastAsia="zh-CN"/>
              </w:rPr>
              <w:t>30%</w:t>
            </w:r>
          </w:p>
        </w:tc>
        <w:tc>
          <w:tcPr>
            <w:tcW w:w="2272" w:type="dxa"/>
            <w:tcBorders>
              <w:top w:val="outset" w:color="111111" w:sz="6" w:space="0"/>
              <w:left w:val="outset" w:color="111111" w:sz="6" w:space="0"/>
              <w:bottom w:val="outset" w:color="111111" w:sz="6" w:space="0"/>
              <w:right w:val="outset" w:color="111111" w:sz="6" w:space="0"/>
            </w:tcBorders>
            <w:textDirection w:val="lrTb"/>
            <w:vAlign w:val="center"/>
          </w:tcPr>
          <w:p>
            <w:pPr>
              <w:jc w:val="center"/>
              <w:rPr>
                <w:rFonts w:ascii="宋体" w:hAnsi="宋体" w:cs="宋体"/>
                <w:b/>
                <w:bCs/>
                <w:sz w:val="24"/>
                <w:szCs w:val="24"/>
              </w:rPr>
            </w:pPr>
            <w:r>
              <w:rPr>
                <w:rFonts w:hint="eastAsia" w:ascii="宋体" w:hAnsi="宋体"/>
                <w:b/>
                <w:bCs/>
                <w:sz w:val="24"/>
                <w:szCs w:val="24"/>
                <w:lang w:val="en-US" w:eastAsia="zh-CN"/>
              </w:rPr>
              <w:t>30%</w:t>
            </w:r>
          </w:p>
        </w:tc>
      </w:tr>
    </w:tbl>
    <w:p>
      <w:pPr>
        <w:pStyle w:val="3"/>
        <w:spacing w:line="360" w:lineRule="auto"/>
        <w:ind w:left="0"/>
        <w:jc w:val="left"/>
        <w:rPr>
          <w:rFonts w:hint="eastAsia" w:ascii="宋体" w:hAnsi="宋体" w:cs="宋体"/>
          <w:b/>
        </w:rPr>
      </w:pPr>
      <w:bookmarkStart w:id="2" w:name="_Toc534975137"/>
      <w:bookmarkStart w:id="3" w:name="_Toc504657625"/>
    </w:p>
    <w:p>
      <w:pPr>
        <w:pStyle w:val="3"/>
        <w:spacing w:line="360" w:lineRule="auto"/>
        <w:ind w:left="0"/>
        <w:jc w:val="left"/>
        <w:rPr>
          <w:rFonts w:hint="eastAsia" w:hAnsi="宋体" w:cs="Times New Roman"/>
        </w:rPr>
      </w:pPr>
      <w:r>
        <w:rPr>
          <w:rFonts w:hint="eastAsia" w:ascii="宋体" w:hAnsi="宋体" w:cs="宋体"/>
          <w:b/>
        </w:rPr>
        <w:t>2.评标细则表</w:t>
      </w:r>
      <w:bookmarkEnd w:id="2"/>
      <w:bookmarkEnd w:id="3"/>
    </w:p>
    <w:p>
      <w:pPr>
        <w:spacing w:line="240" w:lineRule="auto"/>
        <w:jc w:val="center"/>
        <w:rPr>
          <w:rFonts w:ascii="宋体" w:hAnsi="宋体"/>
          <w:b/>
          <w:sz w:val="24"/>
          <w:szCs w:val="24"/>
        </w:rPr>
      </w:pPr>
      <w:r>
        <w:rPr>
          <w:rFonts w:hint="eastAsia" w:ascii="宋体" w:hAnsi="宋体"/>
          <w:b/>
          <w:sz w:val="24"/>
          <w:szCs w:val="24"/>
          <w:lang w:val="en-US" w:eastAsia="zh-CN"/>
        </w:rPr>
        <w:t xml:space="preserve">表1 </w:t>
      </w:r>
      <w:r>
        <w:rPr>
          <w:rFonts w:hint="eastAsia" w:ascii="宋体" w:hAnsi="宋体"/>
          <w:b/>
          <w:sz w:val="24"/>
          <w:szCs w:val="24"/>
        </w:rPr>
        <w:t>投标人资格审查表</w:t>
      </w:r>
    </w:p>
    <w:tbl>
      <w:tblPr>
        <w:tblStyle w:val="11"/>
        <w:tblW w:w="90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30" w:type="dxa"/>
          <w:bottom w:w="0" w:type="dxa"/>
          <w:right w:w="30" w:type="dxa"/>
        </w:tblCellMar>
      </w:tblPr>
      <w:tblGrid>
        <w:gridCol w:w="828"/>
        <w:gridCol w:w="7176"/>
        <w:gridCol w:w="1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30" w:type="dxa"/>
            <w:bottom w:w="0" w:type="dxa"/>
            <w:right w:w="30" w:type="dxa"/>
          </w:tblCellMar>
        </w:tblPrEx>
        <w:trPr>
          <w:trHeight w:val="333" w:hRule="atLeast"/>
        </w:trPr>
        <w:tc>
          <w:tcPr>
            <w:tcW w:w="8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auto"/>
              <w:jc w:val="center"/>
              <w:rPr>
                <w:rFonts w:ascii="宋体" w:hAnsi="宋体"/>
                <w:b/>
                <w:sz w:val="24"/>
                <w:szCs w:val="24"/>
              </w:rPr>
            </w:pPr>
            <w:r>
              <w:rPr>
                <w:rFonts w:hint="eastAsia" w:ascii="宋体" w:hAnsi="宋体"/>
                <w:b/>
                <w:sz w:val="24"/>
                <w:szCs w:val="24"/>
              </w:rPr>
              <w:t>序号</w:t>
            </w:r>
          </w:p>
        </w:tc>
        <w:tc>
          <w:tcPr>
            <w:tcW w:w="7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auto"/>
              <w:jc w:val="center"/>
              <w:rPr>
                <w:rFonts w:ascii="宋体" w:hAnsi="宋体"/>
                <w:b/>
                <w:sz w:val="24"/>
                <w:szCs w:val="24"/>
              </w:rPr>
            </w:pPr>
            <w:r>
              <w:rPr>
                <w:rFonts w:hint="eastAsia" w:ascii="宋体" w:hAnsi="宋体"/>
                <w:b/>
                <w:sz w:val="24"/>
                <w:szCs w:val="24"/>
              </w:rPr>
              <w:t>审查内容</w:t>
            </w:r>
          </w:p>
        </w:tc>
        <w:tc>
          <w:tcPr>
            <w:tcW w:w="107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auto"/>
              <w:jc w:val="center"/>
              <w:rPr>
                <w:rFonts w:hint="eastAsia" w:ascii="宋体" w:hAnsi="宋体" w:eastAsia="宋体"/>
                <w:b/>
                <w:sz w:val="24"/>
                <w:szCs w:val="24"/>
                <w:lang w:eastAsia="zh-CN"/>
              </w:rPr>
            </w:pPr>
            <w:r>
              <w:rPr>
                <w:rFonts w:hint="eastAsia" w:ascii="宋体" w:hAnsi="宋体"/>
                <w:b/>
                <w:sz w:val="24"/>
                <w:szCs w:val="24"/>
                <w:lang w:eastAsia="zh-CN"/>
              </w:rPr>
              <w:t>审查结果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30" w:type="dxa"/>
            <w:bottom w:w="0" w:type="dxa"/>
            <w:right w:w="30" w:type="dxa"/>
          </w:tblCellMar>
        </w:tblPrEx>
        <w:trPr>
          <w:trHeight w:val="1545" w:hRule="atLeast"/>
        </w:trPr>
        <w:tc>
          <w:tcPr>
            <w:tcW w:w="8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b/>
                <w:sz w:val="24"/>
                <w:szCs w:val="24"/>
              </w:rPr>
            </w:pPr>
            <w:r>
              <w:rPr>
                <w:rFonts w:hint="eastAsia" w:ascii="宋体" w:hAnsi="宋体"/>
                <w:b/>
                <w:sz w:val="24"/>
                <w:szCs w:val="24"/>
              </w:rPr>
              <w:t>1</w:t>
            </w:r>
          </w:p>
        </w:tc>
        <w:tc>
          <w:tcPr>
            <w:tcW w:w="71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41" w:firstLineChars="210"/>
              <w:rPr>
                <w:rFonts w:ascii="宋体" w:hAnsi="宋体"/>
                <w:bCs/>
                <w:sz w:val="24"/>
                <w:szCs w:val="24"/>
              </w:rPr>
            </w:pPr>
            <w:r>
              <w:rPr>
                <w:rFonts w:ascii="宋体" w:hAnsi="宋体"/>
                <w:sz w:val="24"/>
                <w:szCs w:val="24"/>
              </w:rPr>
              <w:t>供应商必须是具有独立承担民事责任能力的在中华人民共和国境内注册的法人或其他组织或自然人，</w:t>
            </w:r>
            <w:r>
              <w:rPr>
                <w:rFonts w:ascii="宋体" w:hAnsi="宋体"/>
                <w:b/>
                <w:bCs/>
                <w:sz w:val="24"/>
                <w:szCs w:val="24"/>
              </w:rPr>
              <w:t>提交有效的营业执照（或事业法人登记证或身份证等相关证明）副本复印件。</w:t>
            </w:r>
          </w:p>
        </w:tc>
        <w:tc>
          <w:tcPr>
            <w:tcW w:w="107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bCs/>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30" w:type="dxa"/>
            <w:bottom w:w="0" w:type="dxa"/>
            <w:right w:w="30" w:type="dxa"/>
          </w:tblCellMar>
        </w:tblPrEx>
        <w:trPr>
          <w:trHeight w:val="1182" w:hRule="atLeast"/>
        </w:trPr>
        <w:tc>
          <w:tcPr>
            <w:tcW w:w="8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b/>
                <w:sz w:val="24"/>
                <w:szCs w:val="24"/>
              </w:rPr>
            </w:pPr>
            <w:r>
              <w:rPr>
                <w:rFonts w:ascii="宋体" w:hAnsi="宋体"/>
                <w:b/>
                <w:sz w:val="24"/>
                <w:szCs w:val="24"/>
              </w:rPr>
              <w:t>2</w:t>
            </w:r>
          </w:p>
        </w:tc>
        <w:tc>
          <w:tcPr>
            <w:tcW w:w="71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41" w:firstLineChars="210"/>
              <w:rPr>
                <w:rFonts w:ascii="宋体" w:hAnsi="宋体"/>
                <w:sz w:val="24"/>
                <w:szCs w:val="24"/>
              </w:rPr>
            </w:pPr>
            <w:r>
              <w:rPr>
                <w:rFonts w:ascii="宋体" w:hAnsi="宋体"/>
                <w:sz w:val="24"/>
                <w:szCs w:val="24"/>
              </w:rPr>
              <w:t>供应商必须具有良好的商业信誉和健全的财务会计制度</w:t>
            </w:r>
            <w:r>
              <w:rPr>
                <w:rFonts w:ascii="宋体" w:hAnsi="宋体"/>
                <w:b/>
                <w:bCs/>
                <w:sz w:val="24"/>
                <w:szCs w:val="24"/>
              </w:rPr>
              <w:t>（提供20</w:t>
            </w:r>
            <w:r>
              <w:rPr>
                <w:rFonts w:hint="eastAsia" w:ascii="宋体" w:hAnsi="宋体"/>
                <w:b/>
                <w:bCs/>
                <w:sz w:val="24"/>
                <w:szCs w:val="24"/>
                <w:lang w:val="en-US" w:eastAsia="zh-CN"/>
              </w:rPr>
              <w:t>21</w:t>
            </w:r>
            <w:r>
              <w:rPr>
                <w:rFonts w:ascii="宋体" w:hAnsi="宋体"/>
                <w:b/>
                <w:bCs/>
                <w:sz w:val="24"/>
                <w:szCs w:val="24"/>
              </w:rPr>
              <w:t>年度财务状况报告或基本开户行出具的资信证明）。</w:t>
            </w:r>
          </w:p>
        </w:tc>
        <w:tc>
          <w:tcPr>
            <w:tcW w:w="107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30" w:type="dxa"/>
            <w:bottom w:w="0" w:type="dxa"/>
            <w:right w:w="30" w:type="dxa"/>
          </w:tblCellMar>
        </w:tblPrEx>
        <w:trPr>
          <w:trHeight w:val="1479" w:hRule="atLeast"/>
        </w:trPr>
        <w:tc>
          <w:tcPr>
            <w:tcW w:w="8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b/>
                <w:sz w:val="24"/>
                <w:szCs w:val="24"/>
              </w:rPr>
            </w:pPr>
            <w:r>
              <w:rPr>
                <w:rFonts w:hint="eastAsia" w:ascii="宋体" w:hAnsi="宋体"/>
                <w:b/>
                <w:sz w:val="24"/>
                <w:szCs w:val="24"/>
              </w:rPr>
              <w:t>3</w:t>
            </w:r>
          </w:p>
        </w:tc>
        <w:tc>
          <w:tcPr>
            <w:tcW w:w="71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41" w:firstLineChars="210"/>
              <w:rPr>
                <w:rFonts w:ascii="宋体" w:hAnsi="宋体"/>
                <w:sz w:val="24"/>
                <w:szCs w:val="24"/>
              </w:rPr>
            </w:pPr>
            <w:r>
              <w:rPr>
                <w:rFonts w:ascii="宋体" w:hAnsi="宋体"/>
                <w:sz w:val="24"/>
                <w:szCs w:val="24"/>
              </w:rPr>
              <w:t>有依法缴纳税收和社会保障资金的良好记录</w:t>
            </w:r>
            <w:r>
              <w:rPr>
                <w:rFonts w:ascii="宋体" w:hAnsi="宋体"/>
                <w:b/>
                <w:bCs/>
                <w:sz w:val="24"/>
                <w:szCs w:val="24"/>
              </w:rPr>
              <w:t>（提供投标截止日前6个月内任意1个月依法缴纳税收和社会保障资金的相关材料。如依法免税或不需要缴纳社会保障资金的，提供相应</w:t>
            </w:r>
            <w:r>
              <w:rPr>
                <w:rFonts w:hint="eastAsia" w:ascii="宋体" w:hAnsi="宋体"/>
                <w:b/>
                <w:bCs/>
                <w:sz w:val="24"/>
                <w:szCs w:val="24"/>
              </w:rPr>
              <w:t>证明材料）。</w:t>
            </w:r>
          </w:p>
        </w:tc>
        <w:tc>
          <w:tcPr>
            <w:tcW w:w="107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eastAsia" w:ascii="宋体" w:hAns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30" w:type="dxa"/>
            <w:bottom w:w="0" w:type="dxa"/>
            <w:right w:w="30" w:type="dxa"/>
          </w:tblCellMar>
        </w:tblPrEx>
        <w:trPr>
          <w:trHeight w:val="1086" w:hRule="atLeast"/>
        </w:trPr>
        <w:tc>
          <w:tcPr>
            <w:tcW w:w="8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b/>
                <w:sz w:val="24"/>
                <w:szCs w:val="24"/>
              </w:rPr>
            </w:pPr>
            <w:r>
              <w:rPr>
                <w:rFonts w:hint="eastAsia" w:ascii="宋体" w:hAnsi="宋体"/>
                <w:b/>
                <w:sz w:val="24"/>
                <w:szCs w:val="24"/>
              </w:rPr>
              <w:t>4</w:t>
            </w:r>
          </w:p>
        </w:tc>
        <w:tc>
          <w:tcPr>
            <w:tcW w:w="71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41" w:firstLineChars="210"/>
              <w:rPr>
                <w:rFonts w:ascii="宋体" w:hAnsi="宋体"/>
                <w:sz w:val="24"/>
                <w:szCs w:val="24"/>
              </w:rPr>
            </w:pPr>
            <w:r>
              <w:rPr>
                <w:rFonts w:ascii="宋体" w:hAnsi="宋体"/>
                <w:sz w:val="24"/>
                <w:szCs w:val="24"/>
              </w:rPr>
              <w:t>供应商参加政府采购活动前三年内，在经营活动中没有重大违法记录</w:t>
            </w:r>
            <w:r>
              <w:rPr>
                <w:rFonts w:ascii="宋体" w:hAnsi="宋体"/>
                <w:b/>
                <w:bCs/>
                <w:sz w:val="24"/>
                <w:szCs w:val="24"/>
              </w:rPr>
              <w:t>（可参照投标函相关格式内容</w:t>
            </w:r>
            <w:r>
              <w:rPr>
                <w:rFonts w:hint="eastAsia" w:ascii="宋体" w:hAnsi="宋体"/>
                <w:b/>
                <w:bCs/>
                <w:sz w:val="24"/>
                <w:szCs w:val="24"/>
                <w:lang w:eastAsia="zh-CN"/>
              </w:rPr>
              <w:t>，提供承诺书</w:t>
            </w:r>
            <w:r>
              <w:rPr>
                <w:rFonts w:ascii="宋体" w:hAnsi="宋体"/>
                <w:b/>
                <w:bCs/>
                <w:sz w:val="24"/>
                <w:szCs w:val="24"/>
              </w:rPr>
              <w:t>）。</w:t>
            </w:r>
          </w:p>
        </w:tc>
        <w:tc>
          <w:tcPr>
            <w:tcW w:w="107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eastAsia" w:ascii="宋体" w:hAns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30" w:type="dxa"/>
            <w:bottom w:w="0" w:type="dxa"/>
            <w:right w:w="30" w:type="dxa"/>
          </w:tblCellMar>
        </w:tblPrEx>
        <w:trPr>
          <w:trHeight w:val="957" w:hRule="atLeast"/>
        </w:trPr>
        <w:tc>
          <w:tcPr>
            <w:tcW w:w="8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eastAsia" w:ascii="宋体" w:hAnsi="宋体" w:eastAsia="宋体"/>
                <w:b/>
                <w:sz w:val="24"/>
                <w:szCs w:val="24"/>
                <w:lang w:val="en-US" w:eastAsia="zh-CN"/>
              </w:rPr>
            </w:pPr>
            <w:r>
              <w:rPr>
                <w:rFonts w:hint="eastAsia" w:ascii="宋体" w:hAnsi="宋体"/>
                <w:b/>
                <w:sz w:val="24"/>
                <w:szCs w:val="24"/>
                <w:lang w:val="en-US" w:eastAsia="zh-CN"/>
              </w:rPr>
              <w:t>结论</w:t>
            </w:r>
          </w:p>
        </w:tc>
        <w:tc>
          <w:tcPr>
            <w:tcW w:w="7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sz w:val="24"/>
                <w:szCs w:val="24"/>
              </w:rPr>
            </w:pPr>
          </w:p>
        </w:tc>
        <w:tc>
          <w:tcPr>
            <w:tcW w:w="107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eastAsia" w:ascii="宋体" w:hAnsi="宋体"/>
                <w:szCs w:val="21"/>
              </w:rPr>
            </w:pPr>
          </w:p>
        </w:tc>
      </w:tr>
    </w:tbl>
    <w:p>
      <w:pPr>
        <w:spacing w:line="360" w:lineRule="auto"/>
        <w:rPr>
          <w:rFonts w:hint="eastAsia" w:ascii="宋体" w:hAnsi="宋体"/>
          <w:sz w:val="24"/>
          <w:szCs w:val="24"/>
        </w:rPr>
      </w:pPr>
    </w:p>
    <w:p>
      <w:pPr>
        <w:spacing w:line="360" w:lineRule="auto"/>
        <w:rPr>
          <w:rFonts w:hint="eastAsia" w:ascii="宋体" w:hAnsi="宋体"/>
          <w:sz w:val="24"/>
          <w:szCs w:val="24"/>
        </w:rPr>
      </w:pPr>
      <w:r>
        <w:rPr>
          <w:rFonts w:hint="eastAsia" w:ascii="宋体" w:hAnsi="宋体"/>
          <w:sz w:val="24"/>
          <w:szCs w:val="24"/>
        </w:rPr>
        <w:t>注：</w:t>
      </w:r>
    </w:p>
    <w:p>
      <w:pPr>
        <w:spacing w:line="360" w:lineRule="auto"/>
        <w:ind w:left="708" w:hanging="707" w:hangingChars="337"/>
        <w:rPr>
          <w:rFonts w:hint="eastAsia" w:ascii="宋体" w:hAnsi="宋体"/>
          <w:sz w:val="24"/>
          <w:szCs w:val="24"/>
        </w:rPr>
      </w:pPr>
      <w:r>
        <w:rPr>
          <w:rFonts w:hint="eastAsia" w:ascii="宋体" w:hAnsi="宋体"/>
          <w:sz w:val="24"/>
          <w:szCs w:val="24"/>
        </w:rPr>
        <w:t>1. 每一项符合的打“√”，不符合的打“×”。</w:t>
      </w:r>
    </w:p>
    <w:p>
      <w:pPr>
        <w:spacing w:line="360" w:lineRule="auto"/>
        <w:rPr>
          <w:rFonts w:ascii="宋体" w:hAnsi="宋体"/>
          <w:sz w:val="24"/>
          <w:szCs w:val="24"/>
        </w:rPr>
      </w:pPr>
      <w:r>
        <w:rPr>
          <w:rFonts w:hint="eastAsia" w:ascii="宋体" w:hAnsi="宋体"/>
          <w:sz w:val="24"/>
          <w:szCs w:val="24"/>
        </w:rPr>
        <w:t>2.“结论”一栏填写“通过”或“不通过”；任何一项出现“×”的，结论为不通过；不通过的为无效投标。</w:t>
      </w:r>
    </w:p>
    <w:p>
      <w:pPr>
        <w:spacing w:line="360" w:lineRule="auto"/>
        <w:ind w:left="708" w:hanging="707" w:hangingChars="337"/>
        <w:rPr>
          <w:rFonts w:ascii="宋体" w:hAnsi="宋体"/>
          <w:sz w:val="24"/>
          <w:szCs w:val="24"/>
        </w:rPr>
      </w:pPr>
      <w:r>
        <w:rPr>
          <w:rFonts w:hint="eastAsia" w:ascii="宋体" w:hAnsi="宋体"/>
          <w:sz w:val="24"/>
          <w:szCs w:val="24"/>
        </w:rPr>
        <w:t>3.未</w:t>
      </w:r>
      <w:r>
        <w:rPr>
          <w:rFonts w:ascii="宋体" w:hAnsi="宋体"/>
          <w:sz w:val="24"/>
          <w:szCs w:val="24"/>
        </w:rPr>
        <w:t>通过资格审查的投标供应商，</w:t>
      </w:r>
      <w:r>
        <w:rPr>
          <w:rFonts w:hint="eastAsia" w:ascii="宋体" w:hAnsi="宋体"/>
          <w:sz w:val="24"/>
          <w:szCs w:val="24"/>
        </w:rPr>
        <w:t>不</w:t>
      </w:r>
      <w:r>
        <w:rPr>
          <w:rFonts w:ascii="宋体" w:hAnsi="宋体"/>
          <w:sz w:val="24"/>
          <w:szCs w:val="24"/>
        </w:rPr>
        <w:t>进入技术商务评审。</w:t>
      </w:r>
    </w:p>
    <w:p>
      <w:pPr>
        <w:tabs>
          <w:tab w:val="left" w:pos="851"/>
        </w:tabs>
        <w:adjustRightInd w:val="0"/>
        <w:snapToGrid w:val="0"/>
        <w:spacing w:line="360" w:lineRule="auto"/>
        <w:jc w:val="both"/>
        <w:rPr>
          <w:rFonts w:hint="eastAsia" w:ascii="宋体" w:hAnsi="宋体" w:eastAsia="宋体" w:cs="宋体"/>
          <w:b/>
          <w:bCs/>
          <w:sz w:val="21"/>
          <w:szCs w:val="21"/>
        </w:rPr>
      </w:pP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p>
    <w:p>
      <w:pPr>
        <w:spacing w:line="360" w:lineRule="auto"/>
        <w:jc w:val="center"/>
        <w:rPr>
          <w:rFonts w:hint="eastAsia" w:ascii="宋体" w:hAnsi="宋体"/>
          <w:b/>
          <w:color w:val="auto"/>
          <w:sz w:val="24"/>
          <w:szCs w:val="24"/>
        </w:rPr>
      </w:pPr>
      <w:r>
        <w:rPr>
          <w:rFonts w:hint="eastAsia" w:ascii="宋体" w:hAnsi="宋体"/>
          <w:b/>
          <w:color w:val="auto"/>
          <w:sz w:val="24"/>
          <w:szCs w:val="24"/>
          <w:lang w:val="en-US" w:eastAsia="zh-CN"/>
        </w:rPr>
        <w:t xml:space="preserve">表2 </w:t>
      </w:r>
      <w:r>
        <w:rPr>
          <w:rFonts w:hint="eastAsia" w:ascii="宋体" w:hAnsi="宋体"/>
          <w:b/>
          <w:color w:val="auto"/>
          <w:sz w:val="24"/>
          <w:szCs w:val="24"/>
        </w:rPr>
        <w:t>技术评审表</w:t>
      </w:r>
    </w:p>
    <w:tbl>
      <w:tblPr>
        <w:tblStyle w:val="11"/>
        <w:tblW w:w="9120" w:type="dxa"/>
        <w:tblInd w:w="31" w:type="dxa"/>
        <w:tblLayout w:type="fixed"/>
        <w:tblCellMar>
          <w:top w:w="0" w:type="dxa"/>
          <w:left w:w="108" w:type="dxa"/>
          <w:bottom w:w="0" w:type="dxa"/>
          <w:right w:w="108" w:type="dxa"/>
        </w:tblCellMar>
      </w:tblPr>
      <w:tblGrid>
        <w:gridCol w:w="756"/>
        <w:gridCol w:w="1500"/>
        <w:gridCol w:w="6000"/>
        <w:gridCol w:w="864"/>
      </w:tblGrid>
      <w:tr>
        <w:tblPrEx>
          <w:tblLayout w:type="fixed"/>
          <w:tblCellMar>
            <w:top w:w="0" w:type="dxa"/>
            <w:left w:w="108" w:type="dxa"/>
            <w:bottom w:w="0" w:type="dxa"/>
            <w:right w:w="108" w:type="dxa"/>
          </w:tblCellMar>
        </w:tblPrEx>
        <w:trPr>
          <w:trHeight w:val="90" w:hRule="atLeast"/>
        </w:trPr>
        <w:tc>
          <w:tcPr>
            <w:tcW w:w="756" w:type="dxa"/>
            <w:tcBorders>
              <w:top w:val="single" w:color="auto" w:sz="4" w:space="0"/>
              <w:left w:val="single" w:color="auto" w:sz="4" w:space="0"/>
              <w:bottom w:val="nil"/>
              <w:right w:val="single" w:color="auto" w:sz="4" w:space="0"/>
            </w:tcBorders>
            <w:shd w:val="clear" w:color="000000" w:fill="FFFFFF"/>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1500" w:type="dxa"/>
            <w:tcBorders>
              <w:top w:val="single" w:color="auto" w:sz="4" w:space="0"/>
              <w:left w:val="nil"/>
              <w:bottom w:val="nil"/>
              <w:right w:val="single" w:color="auto" w:sz="4" w:space="0"/>
            </w:tcBorders>
            <w:vAlign w:val="center"/>
          </w:tcPr>
          <w:p>
            <w:pPr>
              <w:widowControl/>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评审项目</w:t>
            </w:r>
          </w:p>
        </w:tc>
        <w:tc>
          <w:tcPr>
            <w:tcW w:w="6000" w:type="dxa"/>
            <w:tcBorders>
              <w:top w:val="single" w:color="auto" w:sz="4" w:space="0"/>
              <w:left w:val="nil"/>
              <w:bottom w:val="nil"/>
              <w:right w:val="single" w:color="auto" w:sz="4" w:space="0"/>
            </w:tcBorders>
            <w:vAlign w:val="center"/>
          </w:tcPr>
          <w:p>
            <w:pPr>
              <w:widowControl/>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评标内容</w:t>
            </w:r>
          </w:p>
        </w:tc>
        <w:tc>
          <w:tcPr>
            <w:tcW w:w="864" w:type="dxa"/>
            <w:tcBorders>
              <w:top w:val="single" w:color="auto" w:sz="4" w:space="0"/>
              <w:left w:val="nil"/>
              <w:bottom w:val="nil"/>
              <w:right w:val="single" w:color="auto" w:sz="4" w:space="0"/>
            </w:tcBorders>
            <w:vAlign w:val="center"/>
          </w:tcPr>
          <w:p>
            <w:pPr>
              <w:widowControl/>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4"/>
                <w:szCs w:val="24"/>
                <w:lang w:val="en-US" w:eastAsia="zh-CN"/>
              </w:rPr>
              <w:t>得分</w:t>
            </w:r>
          </w:p>
        </w:tc>
      </w:tr>
      <w:tr>
        <w:tblPrEx>
          <w:tblLayout w:type="fixed"/>
          <w:tblCellMar>
            <w:top w:w="0" w:type="dxa"/>
            <w:left w:w="108" w:type="dxa"/>
            <w:bottom w:w="0" w:type="dxa"/>
            <w:right w:w="108" w:type="dxa"/>
          </w:tblCellMar>
        </w:tblPrEx>
        <w:trPr>
          <w:trHeight w:val="2306" w:hRule="atLeast"/>
        </w:trPr>
        <w:tc>
          <w:tcPr>
            <w:tcW w:w="75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p>
            <w:pPr>
              <w:widowControl/>
              <w:jc w:val="center"/>
              <w:rPr>
                <w:rFonts w:hint="eastAsia" w:ascii="宋体" w:hAnsi="宋体" w:eastAsia="宋体" w:cs="宋体"/>
                <w:kern w:val="0"/>
                <w:sz w:val="24"/>
                <w:szCs w:val="24"/>
                <w:lang w:val="en-US" w:eastAsia="zh-CN"/>
              </w:rPr>
            </w:pPr>
          </w:p>
        </w:tc>
        <w:tc>
          <w:tcPr>
            <w:tcW w:w="1500" w:type="dxa"/>
            <w:tcBorders>
              <w:top w:val="single" w:color="auto" w:sz="4" w:space="0"/>
              <w:left w:val="nil"/>
              <w:bottom w:val="single" w:color="auto" w:sz="4" w:space="0"/>
              <w:right w:val="single" w:color="auto" w:sz="4" w:space="0"/>
            </w:tcBorders>
            <w:textDirection w:val="lrTb"/>
            <w:vAlign w:val="center"/>
          </w:tcPr>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2"/>
                <w:sz w:val="24"/>
                <w:szCs w:val="24"/>
              </w:rPr>
              <w:t>整体认识理解（5分）</w:t>
            </w:r>
          </w:p>
        </w:tc>
        <w:tc>
          <w:tcPr>
            <w:tcW w:w="6000" w:type="dxa"/>
            <w:tcBorders>
              <w:top w:val="single" w:color="auto" w:sz="4" w:space="0"/>
              <w:left w:val="nil"/>
              <w:bottom w:val="single" w:color="auto" w:sz="4" w:space="0"/>
              <w:right w:val="single" w:color="auto" w:sz="4" w:space="0"/>
            </w:tcBorders>
            <w:textDirection w:val="lrTb"/>
            <w:vAlign w:val="center"/>
          </w:tcPr>
          <w:p>
            <w:pPr>
              <w:spacing w:line="264" w:lineRule="auto"/>
              <w:ind w:left="-63" w:leftChars="-30" w:right="-88" w:rightChars="-42"/>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lang w:eastAsia="zh-CN"/>
              </w:rPr>
              <w:t>投标人对项目整体内容的理解和认识进行全面、具体的陈述，评委根据投标人对项目整体内容的理解和认识程度进行评议，最高得</w:t>
            </w:r>
            <w:r>
              <w:rPr>
                <w:rFonts w:hint="eastAsia" w:asciiTheme="majorEastAsia" w:hAnsiTheme="majorEastAsia" w:eastAsiaTheme="majorEastAsia" w:cstheme="majorEastAsia"/>
                <w:color w:val="auto"/>
                <w:kern w:val="2"/>
                <w:sz w:val="24"/>
                <w:szCs w:val="24"/>
                <w:lang w:val="en-US" w:eastAsia="zh-CN"/>
              </w:rPr>
              <w:t>5分</w:t>
            </w:r>
            <w:r>
              <w:rPr>
                <w:rFonts w:hint="eastAsia" w:asciiTheme="majorEastAsia" w:hAnsiTheme="majorEastAsia" w:eastAsiaTheme="majorEastAsia" w:cstheme="majorEastAsia"/>
                <w:color w:val="auto"/>
                <w:kern w:val="2"/>
                <w:sz w:val="24"/>
                <w:szCs w:val="24"/>
                <w:lang w:eastAsia="zh-CN"/>
              </w:rPr>
              <w:t>：</w:t>
            </w:r>
            <w:r>
              <w:rPr>
                <w:rFonts w:hint="eastAsia" w:asciiTheme="majorEastAsia" w:hAnsiTheme="majorEastAsia" w:eastAsiaTheme="majorEastAsia" w:cstheme="majorEastAsia"/>
                <w:color w:val="auto"/>
                <w:kern w:val="2"/>
                <w:sz w:val="24"/>
                <w:szCs w:val="24"/>
                <w:lang w:eastAsia="zh-CN"/>
              </w:rPr>
              <w:br w:type="textWrapping"/>
            </w:r>
            <w:r>
              <w:rPr>
                <w:rFonts w:hint="eastAsia" w:asciiTheme="majorEastAsia" w:hAnsiTheme="majorEastAsia" w:eastAsiaTheme="majorEastAsia" w:cstheme="majorEastAsia"/>
                <w:color w:val="auto"/>
                <w:kern w:val="2"/>
                <w:sz w:val="24"/>
                <w:szCs w:val="24"/>
                <w:lang w:eastAsia="zh-CN"/>
              </w:rPr>
              <w:t>对项目整体理解充分，认识到位，对项目的重难点有研究与分析，得5分；</w:t>
            </w:r>
            <w:r>
              <w:rPr>
                <w:rFonts w:hint="eastAsia" w:asciiTheme="majorEastAsia" w:hAnsiTheme="majorEastAsia" w:eastAsiaTheme="majorEastAsia" w:cstheme="majorEastAsia"/>
                <w:color w:val="auto"/>
                <w:kern w:val="2"/>
                <w:sz w:val="24"/>
                <w:szCs w:val="24"/>
                <w:lang w:eastAsia="zh-CN"/>
              </w:rPr>
              <w:br w:type="textWrapping"/>
            </w:r>
            <w:r>
              <w:rPr>
                <w:rFonts w:hint="eastAsia" w:asciiTheme="majorEastAsia" w:hAnsiTheme="majorEastAsia" w:eastAsiaTheme="majorEastAsia" w:cstheme="majorEastAsia"/>
                <w:color w:val="auto"/>
                <w:kern w:val="2"/>
                <w:sz w:val="24"/>
                <w:szCs w:val="24"/>
                <w:lang w:eastAsia="zh-CN"/>
              </w:rPr>
              <w:t>对项目整体理解充分，认识到位，对项目的重难点未有研究与分析，得3分；</w:t>
            </w:r>
            <w:r>
              <w:rPr>
                <w:rFonts w:hint="eastAsia" w:asciiTheme="majorEastAsia" w:hAnsiTheme="majorEastAsia" w:eastAsiaTheme="majorEastAsia" w:cstheme="majorEastAsia"/>
                <w:color w:val="auto"/>
                <w:kern w:val="2"/>
                <w:sz w:val="24"/>
                <w:szCs w:val="24"/>
                <w:lang w:eastAsia="zh-CN"/>
              </w:rPr>
              <w:br w:type="textWrapping"/>
            </w:r>
            <w:r>
              <w:rPr>
                <w:rFonts w:hint="eastAsia" w:asciiTheme="majorEastAsia" w:hAnsiTheme="majorEastAsia" w:eastAsiaTheme="majorEastAsia" w:cstheme="majorEastAsia"/>
                <w:color w:val="auto"/>
                <w:kern w:val="2"/>
                <w:sz w:val="24"/>
                <w:szCs w:val="24"/>
                <w:lang w:eastAsia="zh-CN"/>
              </w:rPr>
              <w:t>对项目整体理解不够充分、认识不够到位、对项目的重难点未有研究</w:t>
            </w:r>
            <w:r>
              <w:rPr>
                <w:rFonts w:hint="eastAsia" w:asciiTheme="majorEastAsia" w:hAnsiTheme="majorEastAsia" w:eastAsiaTheme="majorEastAsia" w:cstheme="majorEastAsia"/>
                <w:color w:val="auto"/>
                <w:kern w:val="2"/>
                <w:sz w:val="24"/>
                <w:szCs w:val="24"/>
                <w:lang w:val="en-US" w:eastAsia="zh-CN"/>
              </w:rPr>
              <w:t>与</w:t>
            </w:r>
            <w:r>
              <w:rPr>
                <w:rFonts w:hint="eastAsia" w:asciiTheme="majorEastAsia" w:hAnsiTheme="majorEastAsia" w:eastAsiaTheme="majorEastAsia" w:cstheme="majorEastAsia"/>
                <w:color w:val="auto"/>
                <w:kern w:val="2"/>
                <w:sz w:val="24"/>
                <w:szCs w:val="24"/>
                <w:lang w:eastAsia="zh-CN"/>
              </w:rPr>
              <w:t>分析的，得2分；</w:t>
            </w:r>
            <w:r>
              <w:rPr>
                <w:rFonts w:hint="eastAsia" w:asciiTheme="majorEastAsia" w:hAnsiTheme="majorEastAsia" w:eastAsiaTheme="majorEastAsia" w:cstheme="majorEastAsia"/>
                <w:color w:val="auto"/>
                <w:kern w:val="2"/>
                <w:sz w:val="24"/>
                <w:szCs w:val="24"/>
                <w:lang w:eastAsia="zh-CN"/>
              </w:rPr>
              <w:br w:type="textWrapping"/>
            </w:r>
            <w:r>
              <w:rPr>
                <w:rFonts w:hint="eastAsia" w:asciiTheme="majorEastAsia" w:hAnsiTheme="majorEastAsia" w:eastAsiaTheme="majorEastAsia" w:cstheme="majorEastAsia"/>
                <w:color w:val="auto"/>
                <w:kern w:val="2"/>
                <w:sz w:val="24"/>
                <w:szCs w:val="24"/>
                <w:lang w:eastAsia="zh-CN"/>
              </w:rPr>
              <w:t>对项目整体理解不充分，认识不到位，对项目的重难点未有研究与分析，得1分；</w:t>
            </w:r>
            <w:r>
              <w:rPr>
                <w:rFonts w:hint="eastAsia" w:asciiTheme="majorEastAsia" w:hAnsiTheme="majorEastAsia" w:eastAsiaTheme="majorEastAsia" w:cstheme="majorEastAsia"/>
                <w:color w:val="auto"/>
                <w:kern w:val="2"/>
                <w:sz w:val="24"/>
                <w:szCs w:val="24"/>
                <w:lang w:eastAsia="zh-CN"/>
              </w:rPr>
              <w:br w:type="textWrapping"/>
            </w:r>
            <w:r>
              <w:rPr>
                <w:rFonts w:hint="eastAsia" w:asciiTheme="majorEastAsia" w:hAnsiTheme="majorEastAsia" w:eastAsiaTheme="majorEastAsia" w:cstheme="majorEastAsia"/>
                <w:color w:val="auto"/>
                <w:kern w:val="2"/>
                <w:sz w:val="24"/>
                <w:szCs w:val="24"/>
                <w:lang w:eastAsia="zh-CN"/>
              </w:rPr>
              <w:t>没有提供的得 0 分。</w:t>
            </w:r>
          </w:p>
        </w:tc>
        <w:tc>
          <w:tcPr>
            <w:tcW w:w="86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rPr>
            </w:pPr>
          </w:p>
        </w:tc>
      </w:tr>
      <w:tr>
        <w:tblPrEx>
          <w:tblLayout w:type="fixed"/>
          <w:tblCellMar>
            <w:top w:w="0" w:type="dxa"/>
            <w:left w:w="108" w:type="dxa"/>
            <w:bottom w:w="0" w:type="dxa"/>
            <w:right w:w="108" w:type="dxa"/>
          </w:tblCellMar>
        </w:tblPrEx>
        <w:trPr>
          <w:trHeight w:val="1298" w:hRule="atLeast"/>
        </w:trPr>
        <w:tc>
          <w:tcPr>
            <w:tcW w:w="75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500" w:type="dxa"/>
            <w:tcBorders>
              <w:top w:val="single" w:color="auto" w:sz="4" w:space="0"/>
              <w:left w:val="nil"/>
              <w:bottom w:val="single" w:color="auto" w:sz="4" w:space="0"/>
              <w:right w:val="single" w:color="auto" w:sz="4" w:space="0"/>
            </w:tcBorders>
            <w:textDirection w:val="lrTb"/>
            <w:vAlign w:val="center"/>
          </w:tcPr>
          <w:p>
            <w:pPr>
              <w:pStyle w:val="14"/>
              <w:spacing w:line="276" w:lineRule="auto"/>
              <w:jc w:val="center"/>
              <w:rPr>
                <w:rFonts w:hint="eastAsia" w:ascii="宋体" w:hAnsi="宋体" w:eastAsia="宋体" w:cs="宋体"/>
                <w:color w:val="auto"/>
                <w:kern w:val="0"/>
                <w:sz w:val="24"/>
                <w:szCs w:val="24"/>
              </w:rPr>
            </w:pPr>
            <w:r>
              <w:rPr>
                <w:rFonts w:hint="eastAsia" w:ascii="宋体" w:hAnsi="宋体" w:eastAsia="宋体" w:cs="宋体"/>
                <w:color w:val="auto"/>
                <w:spacing w:val="7"/>
                <w:w w:val="103"/>
                <w:kern w:val="2"/>
                <w:sz w:val="24"/>
                <w:szCs w:val="24"/>
                <w:lang w:eastAsia="zh-CN"/>
              </w:rPr>
              <w:t>对照《采购需求》陈述响应情况</w:t>
            </w:r>
            <w:r>
              <w:rPr>
                <w:rFonts w:hint="eastAsia" w:ascii="宋体" w:hAnsi="宋体" w:eastAsia="宋体" w:cs="宋体"/>
                <w:color w:val="auto"/>
                <w:kern w:val="2"/>
                <w:sz w:val="24"/>
                <w:szCs w:val="24"/>
                <w:lang w:eastAsia="zh-CN"/>
              </w:rPr>
              <w:t>（</w:t>
            </w:r>
            <w:r>
              <w:rPr>
                <w:rFonts w:ascii="宋体" w:hAnsi="宋体" w:eastAsia="宋体" w:cs="宋体"/>
                <w:color w:val="auto"/>
                <w:kern w:val="2"/>
                <w:sz w:val="24"/>
                <w:szCs w:val="24"/>
                <w:lang w:eastAsia="zh-CN"/>
              </w:rPr>
              <w:t>15</w:t>
            </w:r>
            <w:r>
              <w:rPr>
                <w:rFonts w:hint="eastAsia" w:ascii="宋体" w:hAnsi="宋体" w:eastAsia="宋体" w:cs="宋体"/>
                <w:color w:val="auto"/>
                <w:kern w:val="2"/>
                <w:sz w:val="24"/>
                <w:szCs w:val="24"/>
                <w:lang w:eastAsia="zh-CN"/>
              </w:rPr>
              <w:t>分）</w:t>
            </w:r>
          </w:p>
        </w:tc>
        <w:tc>
          <w:tcPr>
            <w:tcW w:w="6000" w:type="dxa"/>
            <w:tcBorders>
              <w:top w:val="single" w:color="auto" w:sz="4" w:space="0"/>
              <w:left w:val="nil"/>
              <w:bottom w:val="single" w:color="auto" w:sz="4" w:space="0"/>
              <w:right w:val="single" w:color="auto" w:sz="4" w:space="0"/>
            </w:tcBorders>
            <w:textDirection w:val="lrTb"/>
            <w:vAlign w:val="center"/>
          </w:tcPr>
          <w:p>
            <w:pPr>
              <w:spacing w:line="264" w:lineRule="auto"/>
              <w:ind w:left="-63" w:leftChars="-30" w:right="-88" w:rightChars="-42"/>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rPr>
              <w:t>投标人全部满足</w:t>
            </w:r>
            <w:r>
              <w:rPr>
                <w:rFonts w:hint="eastAsia" w:asciiTheme="majorEastAsia" w:hAnsiTheme="majorEastAsia" w:eastAsiaTheme="majorEastAsia" w:cstheme="majorEastAsia"/>
                <w:color w:val="auto"/>
                <w:kern w:val="2"/>
                <w:sz w:val="24"/>
                <w:szCs w:val="24"/>
                <w:lang w:eastAsia="zh-CN"/>
              </w:rPr>
              <w:t>《鹤山市人民检察院</w:t>
            </w:r>
            <w:r>
              <w:rPr>
                <w:rFonts w:hint="eastAsia" w:asciiTheme="majorEastAsia" w:hAnsiTheme="majorEastAsia" w:eastAsiaTheme="majorEastAsia" w:cstheme="majorEastAsia"/>
                <w:color w:val="auto"/>
                <w:kern w:val="2"/>
                <w:sz w:val="24"/>
                <w:szCs w:val="24"/>
                <w:lang w:val="en-US" w:eastAsia="zh-CN"/>
              </w:rPr>
              <w:t>2022年度IT运维外包服务采购需求</w:t>
            </w:r>
            <w:r>
              <w:rPr>
                <w:rFonts w:hint="eastAsia" w:asciiTheme="majorEastAsia" w:hAnsiTheme="majorEastAsia" w:eastAsiaTheme="majorEastAsia" w:cstheme="majorEastAsia"/>
                <w:color w:val="auto"/>
                <w:kern w:val="2"/>
                <w:sz w:val="24"/>
                <w:szCs w:val="24"/>
                <w:lang w:eastAsia="zh-CN"/>
              </w:rPr>
              <w:t>》</w:t>
            </w:r>
            <w:r>
              <w:rPr>
                <w:rFonts w:hint="eastAsia" w:asciiTheme="majorEastAsia" w:hAnsiTheme="majorEastAsia" w:eastAsiaTheme="majorEastAsia" w:cstheme="majorEastAsia"/>
                <w:color w:val="auto"/>
                <w:kern w:val="2"/>
                <w:sz w:val="24"/>
                <w:szCs w:val="24"/>
              </w:rPr>
              <w:t>的响应情况，并给出具体依据</w:t>
            </w:r>
            <w:r>
              <w:rPr>
                <w:rFonts w:hint="eastAsia" w:asciiTheme="majorEastAsia" w:hAnsiTheme="majorEastAsia" w:eastAsiaTheme="majorEastAsia" w:cstheme="majorEastAsia"/>
                <w:color w:val="auto"/>
                <w:kern w:val="2"/>
                <w:sz w:val="24"/>
                <w:szCs w:val="24"/>
                <w:lang w:eastAsia="zh-CN"/>
              </w:rPr>
              <w:t>材料</w:t>
            </w:r>
            <w:r>
              <w:rPr>
                <w:rFonts w:hint="eastAsia" w:asciiTheme="majorEastAsia" w:hAnsiTheme="majorEastAsia" w:eastAsiaTheme="majorEastAsia" w:cstheme="majorEastAsia"/>
                <w:color w:val="auto"/>
                <w:kern w:val="2"/>
                <w:sz w:val="24"/>
                <w:szCs w:val="24"/>
              </w:rPr>
              <w:t>的，得15分</w:t>
            </w:r>
            <w:r>
              <w:rPr>
                <w:rFonts w:hint="eastAsia" w:asciiTheme="majorEastAsia" w:hAnsiTheme="majorEastAsia" w:eastAsiaTheme="majorEastAsia" w:cstheme="majorEastAsia"/>
                <w:color w:val="auto"/>
                <w:kern w:val="2"/>
                <w:sz w:val="24"/>
                <w:szCs w:val="24"/>
                <w:lang w:eastAsia="zh-CN"/>
              </w:rPr>
              <w:t>；</w:t>
            </w:r>
          </w:p>
          <w:p>
            <w:pPr>
              <w:spacing w:line="264" w:lineRule="auto"/>
              <w:ind w:left="-63" w:leftChars="-30" w:right="-88" w:rightChars="-42"/>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rPr>
              <w:t>有1项条款为负偏离，得12分；</w:t>
            </w:r>
          </w:p>
          <w:p>
            <w:pPr>
              <w:spacing w:line="264" w:lineRule="auto"/>
              <w:ind w:left="-63" w:leftChars="-30" w:right="-88" w:rightChars="-42"/>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rPr>
              <w:t>有2项条款为负偏离，得9分；</w:t>
            </w:r>
          </w:p>
          <w:p>
            <w:pPr>
              <w:spacing w:line="264" w:lineRule="auto"/>
              <w:ind w:left="-63" w:leftChars="-30" w:right="-88" w:rightChars="-42"/>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rPr>
              <w:t>有3项条款为负偏离，得6分；</w:t>
            </w:r>
          </w:p>
          <w:p>
            <w:pPr>
              <w:spacing w:line="264" w:lineRule="auto"/>
              <w:ind w:left="-63" w:leftChars="-30" w:right="-88" w:rightChars="-42"/>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rPr>
              <w:t>有4项条款为负偏离，得3分；</w:t>
            </w:r>
          </w:p>
          <w:p>
            <w:pPr>
              <w:spacing w:line="264" w:lineRule="auto"/>
              <w:ind w:left="-63" w:leftChars="-30" w:right="-88" w:rightChars="-42"/>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rPr>
              <w:t>有5项（含）以上条款为负偏离，得0分。</w:t>
            </w:r>
          </w:p>
        </w:tc>
        <w:tc>
          <w:tcPr>
            <w:tcW w:w="86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rPr>
            </w:pPr>
          </w:p>
        </w:tc>
      </w:tr>
      <w:tr>
        <w:tblPrEx>
          <w:tblLayout w:type="fixed"/>
          <w:tblCellMar>
            <w:top w:w="0" w:type="dxa"/>
            <w:left w:w="108" w:type="dxa"/>
            <w:bottom w:w="0" w:type="dxa"/>
            <w:right w:w="108" w:type="dxa"/>
          </w:tblCellMar>
        </w:tblPrEx>
        <w:trPr>
          <w:trHeight w:val="90" w:hRule="atLeast"/>
        </w:trPr>
        <w:tc>
          <w:tcPr>
            <w:tcW w:w="75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1500" w:type="dxa"/>
            <w:tcBorders>
              <w:top w:val="single" w:color="auto" w:sz="4" w:space="0"/>
              <w:left w:val="nil"/>
              <w:bottom w:val="single" w:color="auto" w:sz="4" w:space="0"/>
              <w:right w:val="single" w:color="auto" w:sz="4" w:space="0"/>
            </w:tcBorders>
            <w:textDirection w:val="lrTb"/>
            <w:vAlign w:val="center"/>
          </w:tcPr>
          <w:p>
            <w:pPr>
              <w:pStyle w:val="14"/>
              <w:spacing w:line="276" w:lineRule="auto"/>
              <w:jc w:val="center"/>
              <w:rPr>
                <w:rFonts w:hint="eastAsia" w:ascii="宋体" w:hAnsi="宋体" w:eastAsia="宋体" w:cs="宋体"/>
                <w:color w:val="auto"/>
                <w:kern w:val="0"/>
                <w:sz w:val="24"/>
                <w:szCs w:val="24"/>
              </w:rPr>
            </w:pPr>
            <w:r>
              <w:rPr>
                <w:rFonts w:hint="eastAsia" w:ascii="宋体" w:hAnsi="宋体" w:eastAsia="宋体" w:cs="宋体"/>
                <w:color w:val="auto"/>
                <w:spacing w:val="7"/>
                <w:w w:val="103"/>
                <w:kern w:val="2"/>
                <w:sz w:val="24"/>
                <w:szCs w:val="24"/>
                <w:lang w:eastAsia="zh-CN"/>
              </w:rPr>
              <w:t>派驻人员的个人</w:t>
            </w:r>
            <w:r>
              <w:rPr>
                <w:rFonts w:hint="eastAsia" w:ascii="宋体" w:hAnsi="宋体" w:eastAsia="宋体" w:cs="宋体"/>
                <w:color w:val="auto"/>
                <w:spacing w:val="7"/>
                <w:w w:val="103"/>
                <w:kern w:val="2"/>
                <w:sz w:val="24"/>
                <w:szCs w:val="24"/>
                <w:lang w:val="en-US" w:eastAsia="zh-CN"/>
              </w:rPr>
              <w:t>工作</w:t>
            </w:r>
            <w:r>
              <w:rPr>
                <w:rFonts w:hint="eastAsia" w:ascii="宋体" w:hAnsi="宋体" w:eastAsia="宋体" w:cs="宋体"/>
                <w:color w:val="auto"/>
                <w:spacing w:val="7"/>
                <w:w w:val="103"/>
                <w:kern w:val="2"/>
                <w:sz w:val="24"/>
                <w:szCs w:val="24"/>
                <w:lang w:eastAsia="zh-CN"/>
              </w:rPr>
              <w:t>能力（1</w:t>
            </w:r>
            <w:r>
              <w:rPr>
                <w:rFonts w:ascii="宋体" w:hAnsi="宋体" w:eastAsia="宋体" w:cs="宋体"/>
                <w:color w:val="auto"/>
                <w:spacing w:val="7"/>
                <w:w w:val="103"/>
                <w:kern w:val="2"/>
                <w:sz w:val="24"/>
                <w:szCs w:val="24"/>
                <w:lang w:eastAsia="zh-CN"/>
              </w:rPr>
              <w:t>0</w:t>
            </w:r>
            <w:r>
              <w:rPr>
                <w:rFonts w:hint="eastAsia" w:ascii="宋体" w:hAnsi="宋体" w:eastAsia="宋体" w:cs="宋体"/>
                <w:color w:val="auto"/>
                <w:spacing w:val="7"/>
                <w:w w:val="103"/>
                <w:kern w:val="2"/>
                <w:sz w:val="24"/>
                <w:szCs w:val="24"/>
                <w:lang w:eastAsia="zh-CN"/>
              </w:rPr>
              <w:t>分）</w:t>
            </w:r>
          </w:p>
        </w:tc>
        <w:tc>
          <w:tcPr>
            <w:tcW w:w="6000" w:type="dxa"/>
            <w:tcBorders>
              <w:top w:val="single" w:color="auto" w:sz="4" w:space="0"/>
              <w:left w:val="nil"/>
              <w:bottom w:val="single" w:color="auto" w:sz="4" w:space="0"/>
              <w:right w:val="single" w:color="auto" w:sz="4" w:space="0"/>
            </w:tcBorders>
            <w:textDirection w:val="lrTb"/>
            <w:vAlign w:val="center"/>
          </w:tcPr>
          <w:p>
            <w:pPr>
              <w:spacing w:line="264" w:lineRule="auto"/>
              <w:ind w:left="-63" w:leftChars="-30" w:right="-88" w:rightChars="-42"/>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rPr>
              <w:t>1、有三年以上</w:t>
            </w:r>
            <w:r>
              <w:rPr>
                <w:rFonts w:hint="eastAsia" w:asciiTheme="majorEastAsia" w:hAnsiTheme="majorEastAsia" w:eastAsiaTheme="majorEastAsia" w:cstheme="majorEastAsia"/>
                <w:color w:val="auto"/>
                <w:kern w:val="2"/>
                <w:sz w:val="24"/>
                <w:szCs w:val="24"/>
                <w:lang w:eastAsia="zh-CN"/>
              </w:rPr>
              <w:t>机关</w:t>
            </w:r>
            <w:r>
              <w:rPr>
                <w:rFonts w:hint="eastAsia" w:asciiTheme="majorEastAsia" w:hAnsiTheme="majorEastAsia" w:eastAsiaTheme="majorEastAsia" w:cstheme="majorEastAsia"/>
                <w:color w:val="auto"/>
                <w:kern w:val="2"/>
                <w:sz w:val="24"/>
                <w:szCs w:val="24"/>
              </w:rPr>
              <w:t>单位运维经验的，得3分</w:t>
            </w:r>
            <w:r>
              <w:rPr>
                <w:rFonts w:hint="eastAsia" w:asciiTheme="majorEastAsia" w:hAnsiTheme="majorEastAsia" w:eastAsiaTheme="majorEastAsia" w:cstheme="majorEastAsia"/>
                <w:color w:val="auto"/>
                <w:kern w:val="2"/>
                <w:sz w:val="24"/>
                <w:szCs w:val="24"/>
                <w:lang w:eastAsia="zh-CN"/>
              </w:rPr>
              <w:t>；</w:t>
            </w:r>
            <w:r>
              <w:rPr>
                <w:rFonts w:hint="eastAsia" w:asciiTheme="majorEastAsia" w:hAnsiTheme="majorEastAsia" w:eastAsiaTheme="majorEastAsia" w:cstheme="majorEastAsia"/>
                <w:color w:val="auto"/>
                <w:kern w:val="2"/>
                <w:sz w:val="24"/>
                <w:szCs w:val="24"/>
              </w:rPr>
              <w:t>有两年以上</w:t>
            </w:r>
            <w:r>
              <w:rPr>
                <w:rFonts w:hint="eastAsia" w:asciiTheme="majorEastAsia" w:hAnsiTheme="majorEastAsia" w:eastAsiaTheme="majorEastAsia" w:cstheme="majorEastAsia"/>
                <w:color w:val="auto"/>
                <w:kern w:val="2"/>
                <w:sz w:val="24"/>
                <w:szCs w:val="24"/>
                <w:lang w:eastAsia="zh-CN"/>
              </w:rPr>
              <w:t>机关</w:t>
            </w:r>
            <w:r>
              <w:rPr>
                <w:rFonts w:hint="eastAsia" w:asciiTheme="majorEastAsia" w:hAnsiTheme="majorEastAsia" w:eastAsiaTheme="majorEastAsia" w:cstheme="majorEastAsia"/>
                <w:color w:val="auto"/>
                <w:kern w:val="2"/>
                <w:sz w:val="24"/>
                <w:szCs w:val="24"/>
              </w:rPr>
              <w:t>单位运维经验的，得2分；有一年以上</w:t>
            </w:r>
            <w:r>
              <w:rPr>
                <w:rFonts w:hint="eastAsia" w:asciiTheme="majorEastAsia" w:hAnsiTheme="majorEastAsia" w:eastAsiaTheme="majorEastAsia" w:cstheme="majorEastAsia"/>
                <w:color w:val="auto"/>
                <w:kern w:val="2"/>
                <w:sz w:val="24"/>
                <w:szCs w:val="24"/>
                <w:lang w:eastAsia="zh-CN"/>
              </w:rPr>
              <w:t>机关</w:t>
            </w:r>
            <w:r>
              <w:rPr>
                <w:rFonts w:hint="eastAsia" w:asciiTheme="majorEastAsia" w:hAnsiTheme="majorEastAsia" w:eastAsiaTheme="majorEastAsia" w:cstheme="majorEastAsia"/>
                <w:color w:val="auto"/>
                <w:kern w:val="2"/>
                <w:sz w:val="24"/>
                <w:szCs w:val="24"/>
              </w:rPr>
              <w:t>单位运维经验的，得1分；本项最高得3分（需</w:t>
            </w:r>
            <w:r>
              <w:rPr>
                <w:rFonts w:hint="eastAsia" w:asciiTheme="majorEastAsia" w:hAnsiTheme="majorEastAsia" w:eastAsiaTheme="majorEastAsia" w:cstheme="majorEastAsia"/>
                <w:color w:val="auto"/>
                <w:kern w:val="2"/>
                <w:sz w:val="24"/>
                <w:szCs w:val="24"/>
                <w:lang w:val="en-US" w:eastAsia="zh-CN"/>
              </w:rPr>
              <w:t>提供</w:t>
            </w:r>
            <w:r>
              <w:rPr>
                <w:rFonts w:hint="eastAsia" w:asciiTheme="majorEastAsia" w:hAnsiTheme="majorEastAsia" w:eastAsiaTheme="majorEastAsia" w:cstheme="majorEastAsia"/>
                <w:color w:val="auto"/>
                <w:kern w:val="2"/>
                <w:sz w:val="24"/>
                <w:szCs w:val="24"/>
              </w:rPr>
              <w:t>相关证明文件）。</w:t>
            </w:r>
          </w:p>
          <w:p>
            <w:pPr>
              <w:spacing w:line="264" w:lineRule="auto"/>
              <w:ind w:left="-63" w:leftChars="-30" w:right="-88" w:rightChars="-42"/>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rPr>
              <w:t>2、</w:t>
            </w:r>
            <w:r>
              <w:rPr>
                <w:rFonts w:hint="eastAsia" w:asciiTheme="majorEastAsia" w:hAnsiTheme="majorEastAsia" w:eastAsiaTheme="majorEastAsia" w:cstheme="majorEastAsia"/>
                <w:color w:val="auto"/>
                <w:kern w:val="2"/>
                <w:sz w:val="24"/>
                <w:szCs w:val="24"/>
                <w:lang w:eastAsia="zh-CN"/>
              </w:rPr>
              <w:t>大专以上，</w:t>
            </w:r>
            <w:r>
              <w:rPr>
                <w:rFonts w:hint="eastAsia" w:asciiTheme="majorEastAsia" w:hAnsiTheme="majorEastAsia" w:eastAsiaTheme="majorEastAsia" w:cstheme="majorEastAsia"/>
                <w:color w:val="auto"/>
                <w:kern w:val="2"/>
                <w:sz w:val="24"/>
                <w:szCs w:val="24"/>
              </w:rPr>
              <w:t>计算机及相关专业毕业，是得2分，否得0分。</w:t>
            </w:r>
          </w:p>
          <w:p>
            <w:pPr>
              <w:spacing w:line="264" w:lineRule="auto"/>
              <w:ind w:left="-63" w:leftChars="-30" w:right="-88" w:rightChars="-42"/>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rPr>
              <w:t>3、吃苦耐劳，并有相关</w:t>
            </w:r>
            <w:r>
              <w:rPr>
                <w:rFonts w:hint="eastAsia" w:asciiTheme="majorEastAsia" w:hAnsiTheme="majorEastAsia" w:eastAsiaTheme="majorEastAsia" w:cstheme="majorEastAsia"/>
                <w:color w:val="auto"/>
                <w:kern w:val="2"/>
                <w:sz w:val="24"/>
                <w:szCs w:val="24"/>
                <w:lang w:eastAsia="zh-CN"/>
              </w:rPr>
              <w:t>表彰表扬</w:t>
            </w:r>
            <w:r>
              <w:rPr>
                <w:rFonts w:hint="eastAsia" w:asciiTheme="majorEastAsia" w:hAnsiTheme="majorEastAsia" w:eastAsiaTheme="majorEastAsia" w:cstheme="majorEastAsia"/>
                <w:color w:val="auto"/>
                <w:kern w:val="2"/>
                <w:sz w:val="24"/>
                <w:szCs w:val="24"/>
              </w:rPr>
              <w:t>印证资料，</w:t>
            </w:r>
            <w:r>
              <w:rPr>
                <w:rFonts w:hint="eastAsia" w:asciiTheme="majorEastAsia" w:hAnsiTheme="majorEastAsia" w:eastAsiaTheme="majorEastAsia" w:cstheme="majorEastAsia"/>
                <w:color w:val="auto"/>
                <w:kern w:val="2"/>
                <w:sz w:val="24"/>
                <w:szCs w:val="24"/>
                <w:lang w:eastAsia="zh-CN"/>
              </w:rPr>
              <w:t>最高</w:t>
            </w:r>
            <w:r>
              <w:rPr>
                <w:rFonts w:hint="eastAsia" w:asciiTheme="majorEastAsia" w:hAnsiTheme="majorEastAsia" w:eastAsiaTheme="majorEastAsia" w:cstheme="majorEastAsia"/>
                <w:color w:val="auto"/>
                <w:kern w:val="2"/>
                <w:sz w:val="24"/>
                <w:szCs w:val="24"/>
              </w:rPr>
              <w:t>得2分</w:t>
            </w:r>
            <w:r>
              <w:rPr>
                <w:rFonts w:hint="eastAsia" w:asciiTheme="majorEastAsia" w:hAnsiTheme="majorEastAsia" w:eastAsiaTheme="majorEastAsia" w:cstheme="majorEastAsia"/>
                <w:color w:val="auto"/>
                <w:kern w:val="2"/>
                <w:sz w:val="24"/>
                <w:szCs w:val="24"/>
                <w:lang w:eastAsia="zh-CN"/>
              </w:rPr>
              <w:t>。</w:t>
            </w:r>
          </w:p>
          <w:p>
            <w:pPr>
              <w:spacing w:line="264" w:lineRule="auto"/>
              <w:ind w:left="-63" w:leftChars="-30" w:right="-88" w:rightChars="-42"/>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rPr>
              <w:t>4、</w:t>
            </w:r>
            <w:r>
              <w:rPr>
                <w:rFonts w:hint="eastAsia" w:asciiTheme="majorEastAsia" w:hAnsiTheme="majorEastAsia" w:eastAsiaTheme="majorEastAsia" w:cstheme="majorEastAsia"/>
                <w:color w:val="auto"/>
                <w:kern w:val="2"/>
                <w:sz w:val="24"/>
                <w:szCs w:val="24"/>
                <w:lang w:val="en-US" w:eastAsia="zh-CN"/>
              </w:rPr>
              <w:t>有以下工作经验的，包括安全</w:t>
            </w:r>
            <w:r>
              <w:rPr>
                <w:rFonts w:hint="eastAsia" w:asciiTheme="majorEastAsia" w:hAnsiTheme="majorEastAsia" w:eastAsiaTheme="majorEastAsia" w:cstheme="majorEastAsia"/>
                <w:color w:val="auto"/>
                <w:kern w:val="2"/>
                <w:sz w:val="24"/>
                <w:szCs w:val="24"/>
              </w:rPr>
              <w:t>监控、机器人操作、科达设备操作、视频编辑操作、LED</w:t>
            </w:r>
            <w:r>
              <w:rPr>
                <w:rFonts w:hint="eastAsia" w:asciiTheme="majorEastAsia" w:hAnsiTheme="majorEastAsia" w:eastAsiaTheme="majorEastAsia" w:cstheme="majorEastAsia"/>
                <w:color w:val="auto"/>
                <w:kern w:val="2"/>
                <w:sz w:val="24"/>
                <w:szCs w:val="24"/>
                <w:lang w:val="en-US" w:eastAsia="zh-CN"/>
              </w:rPr>
              <w:t>操作</w:t>
            </w:r>
            <w:r>
              <w:rPr>
                <w:rFonts w:hint="eastAsia" w:asciiTheme="majorEastAsia" w:hAnsiTheme="majorEastAsia" w:eastAsiaTheme="majorEastAsia" w:cstheme="majorEastAsia"/>
                <w:color w:val="auto"/>
                <w:kern w:val="2"/>
                <w:sz w:val="24"/>
                <w:szCs w:val="24"/>
                <w:lang w:eastAsia="zh-CN"/>
              </w:rPr>
              <w:t>、</w:t>
            </w:r>
            <w:r>
              <w:rPr>
                <w:rFonts w:hint="eastAsia" w:asciiTheme="majorEastAsia" w:hAnsiTheme="majorEastAsia" w:eastAsiaTheme="majorEastAsia" w:cstheme="majorEastAsia"/>
                <w:color w:val="auto"/>
                <w:kern w:val="2"/>
                <w:sz w:val="24"/>
                <w:szCs w:val="24"/>
                <w:lang w:val="en-US" w:eastAsia="zh-CN"/>
              </w:rPr>
              <w:t>门禁</w:t>
            </w:r>
            <w:r>
              <w:rPr>
                <w:rFonts w:hint="eastAsia" w:asciiTheme="majorEastAsia" w:hAnsiTheme="majorEastAsia" w:eastAsiaTheme="majorEastAsia" w:cstheme="majorEastAsia"/>
                <w:color w:val="auto"/>
                <w:kern w:val="2"/>
                <w:sz w:val="24"/>
                <w:szCs w:val="24"/>
              </w:rPr>
              <w:t>操作、音响操作、会议系统操作等</w:t>
            </w:r>
            <w:r>
              <w:rPr>
                <w:rFonts w:hint="eastAsia" w:asciiTheme="majorEastAsia" w:hAnsiTheme="majorEastAsia" w:eastAsiaTheme="majorEastAsia" w:cstheme="majorEastAsia"/>
                <w:color w:val="auto"/>
                <w:kern w:val="2"/>
                <w:sz w:val="24"/>
                <w:szCs w:val="24"/>
                <w:lang w:eastAsia="zh-CN"/>
              </w:rPr>
              <w:t>，</w:t>
            </w:r>
            <w:r>
              <w:rPr>
                <w:rFonts w:hint="eastAsia" w:asciiTheme="majorEastAsia" w:hAnsiTheme="majorEastAsia" w:eastAsiaTheme="majorEastAsia" w:cstheme="majorEastAsia"/>
                <w:color w:val="auto"/>
                <w:kern w:val="2"/>
                <w:sz w:val="24"/>
                <w:szCs w:val="24"/>
              </w:rPr>
              <w:t>每一个技能得0.5分，本项最高得3分。</w:t>
            </w:r>
            <w:r>
              <w:rPr>
                <w:rFonts w:hint="eastAsia" w:asciiTheme="majorEastAsia" w:hAnsiTheme="majorEastAsia" w:eastAsiaTheme="majorEastAsia" w:cstheme="majorEastAsia"/>
                <w:color w:val="auto"/>
                <w:kern w:val="2"/>
                <w:sz w:val="24"/>
                <w:szCs w:val="24"/>
                <w:lang w:eastAsia="zh-CN"/>
              </w:rPr>
              <w:t>（</w:t>
            </w:r>
            <w:r>
              <w:rPr>
                <w:rFonts w:hint="eastAsia" w:asciiTheme="majorEastAsia" w:hAnsiTheme="majorEastAsia" w:eastAsiaTheme="majorEastAsia" w:cstheme="majorEastAsia"/>
                <w:color w:val="auto"/>
                <w:kern w:val="2"/>
                <w:sz w:val="24"/>
                <w:szCs w:val="24"/>
                <w:lang w:val="en-US" w:eastAsia="zh-CN"/>
              </w:rPr>
              <w:t>需提供证明材料）</w:t>
            </w:r>
          </w:p>
        </w:tc>
        <w:tc>
          <w:tcPr>
            <w:tcW w:w="86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rPr>
            </w:pPr>
          </w:p>
        </w:tc>
      </w:tr>
      <w:tr>
        <w:tblPrEx>
          <w:tblLayout w:type="fixed"/>
          <w:tblCellMar>
            <w:top w:w="0" w:type="dxa"/>
            <w:left w:w="108" w:type="dxa"/>
            <w:bottom w:w="0" w:type="dxa"/>
            <w:right w:w="108" w:type="dxa"/>
          </w:tblCellMar>
        </w:tblPrEx>
        <w:trPr>
          <w:trHeight w:val="1452" w:hRule="atLeast"/>
        </w:trPr>
        <w:tc>
          <w:tcPr>
            <w:tcW w:w="75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1500" w:type="dxa"/>
            <w:tcBorders>
              <w:top w:val="single" w:color="auto" w:sz="4" w:space="0"/>
              <w:left w:val="nil"/>
              <w:bottom w:val="single" w:color="auto" w:sz="4" w:space="0"/>
              <w:right w:val="single" w:color="auto" w:sz="4" w:space="0"/>
            </w:tcBorders>
            <w:textDirection w:val="lrTb"/>
            <w:vAlign w:val="center"/>
          </w:tcPr>
          <w:p>
            <w:pPr>
              <w:spacing w:line="276" w:lineRule="auto"/>
              <w:jc w:val="center"/>
              <w:rPr>
                <w:rFonts w:hint="eastAsia" w:ascii="宋体" w:hAnsi="宋体" w:eastAsia="宋体" w:cs="宋体"/>
                <w:color w:val="auto"/>
                <w:kern w:val="0"/>
                <w:sz w:val="24"/>
                <w:szCs w:val="24"/>
              </w:rPr>
            </w:pPr>
            <w:r>
              <w:rPr>
                <w:rFonts w:hint="eastAsia" w:ascii="宋体" w:hAnsi="宋体" w:eastAsia="宋体" w:cs="宋体"/>
                <w:color w:val="auto"/>
                <w:kern w:val="2"/>
                <w:sz w:val="24"/>
                <w:szCs w:val="24"/>
              </w:rPr>
              <w:t>运维公司的团队的技术</w:t>
            </w:r>
            <w:r>
              <w:rPr>
                <w:rFonts w:hint="eastAsia" w:ascii="宋体" w:hAnsi="宋体" w:eastAsia="宋体" w:cs="宋体"/>
                <w:color w:val="auto"/>
                <w:kern w:val="2"/>
                <w:sz w:val="24"/>
                <w:szCs w:val="24"/>
                <w:lang w:val="en-US" w:eastAsia="zh-CN"/>
              </w:rPr>
              <w:t>支撑</w:t>
            </w:r>
            <w:r>
              <w:rPr>
                <w:rFonts w:hint="eastAsia" w:ascii="宋体" w:hAnsi="宋体" w:eastAsia="宋体" w:cs="宋体"/>
                <w:color w:val="auto"/>
                <w:kern w:val="2"/>
                <w:sz w:val="24"/>
                <w:szCs w:val="24"/>
              </w:rPr>
              <w:t>能力（1</w:t>
            </w:r>
            <w:r>
              <w:rPr>
                <w:rFonts w:ascii="宋体" w:hAnsi="宋体" w:eastAsia="宋体" w:cs="宋体"/>
                <w:color w:val="auto"/>
                <w:kern w:val="2"/>
                <w:sz w:val="24"/>
                <w:szCs w:val="24"/>
              </w:rPr>
              <w:t>0</w:t>
            </w:r>
            <w:r>
              <w:rPr>
                <w:rFonts w:hint="eastAsia" w:ascii="宋体" w:hAnsi="宋体" w:eastAsia="宋体" w:cs="宋体"/>
                <w:color w:val="auto"/>
                <w:kern w:val="2"/>
                <w:sz w:val="24"/>
                <w:szCs w:val="24"/>
              </w:rPr>
              <w:t>分）</w:t>
            </w:r>
          </w:p>
        </w:tc>
        <w:tc>
          <w:tcPr>
            <w:tcW w:w="6000" w:type="dxa"/>
            <w:tcBorders>
              <w:top w:val="single" w:color="auto" w:sz="4" w:space="0"/>
              <w:left w:val="nil"/>
              <w:bottom w:val="single" w:color="auto" w:sz="4" w:space="0"/>
              <w:right w:val="single" w:color="auto" w:sz="4" w:space="0"/>
            </w:tcBorders>
            <w:textDirection w:val="lrTb"/>
            <w:vAlign w:val="center"/>
          </w:tcPr>
          <w:p>
            <w:pPr>
              <w:spacing w:line="264" w:lineRule="auto"/>
              <w:ind w:left="-63" w:leftChars="-30" w:right="-88" w:rightChars="-42"/>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rPr>
              <w:t>自我陈述投标人自身公司的技术团队的技术能力及重大问题解决的工作案例</w:t>
            </w:r>
            <w:r>
              <w:rPr>
                <w:rFonts w:hint="eastAsia" w:asciiTheme="majorEastAsia" w:hAnsiTheme="majorEastAsia" w:eastAsiaTheme="majorEastAsia" w:cstheme="majorEastAsia"/>
                <w:color w:val="auto"/>
                <w:kern w:val="2"/>
                <w:sz w:val="24"/>
                <w:szCs w:val="24"/>
                <w:lang w:eastAsia="zh-CN"/>
              </w:rPr>
              <w:t>，最高得</w:t>
            </w:r>
            <w:r>
              <w:rPr>
                <w:rFonts w:hint="eastAsia" w:asciiTheme="majorEastAsia" w:hAnsiTheme="majorEastAsia" w:eastAsiaTheme="majorEastAsia" w:cstheme="majorEastAsia"/>
                <w:color w:val="auto"/>
                <w:kern w:val="2"/>
                <w:sz w:val="24"/>
                <w:szCs w:val="24"/>
                <w:lang w:val="en-US" w:eastAsia="zh-CN"/>
              </w:rPr>
              <w:t>10分：</w:t>
            </w:r>
            <w:r>
              <w:rPr>
                <w:rFonts w:hint="eastAsia" w:asciiTheme="majorEastAsia" w:hAnsiTheme="majorEastAsia" w:eastAsiaTheme="majorEastAsia" w:cstheme="majorEastAsia"/>
                <w:color w:val="auto"/>
                <w:kern w:val="2"/>
                <w:sz w:val="24"/>
                <w:szCs w:val="24"/>
              </w:rPr>
              <w:br w:type="textWrapping"/>
            </w:r>
            <w:r>
              <w:rPr>
                <w:rFonts w:hint="eastAsia" w:asciiTheme="majorEastAsia" w:hAnsiTheme="majorEastAsia" w:eastAsiaTheme="majorEastAsia" w:cstheme="majorEastAsia"/>
                <w:color w:val="auto"/>
                <w:kern w:val="2"/>
                <w:sz w:val="24"/>
                <w:szCs w:val="24"/>
              </w:rPr>
              <w:t>案例实施质量较高、效果较好的，解决重大问题的得10分；</w:t>
            </w:r>
            <w:r>
              <w:rPr>
                <w:rFonts w:hint="eastAsia" w:asciiTheme="majorEastAsia" w:hAnsiTheme="majorEastAsia" w:eastAsiaTheme="majorEastAsia" w:cstheme="majorEastAsia"/>
                <w:color w:val="auto"/>
                <w:kern w:val="2"/>
                <w:sz w:val="24"/>
                <w:szCs w:val="24"/>
              </w:rPr>
              <w:br w:type="textWrapping"/>
            </w:r>
            <w:r>
              <w:rPr>
                <w:rFonts w:hint="eastAsia" w:asciiTheme="majorEastAsia" w:hAnsiTheme="majorEastAsia" w:eastAsiaTheme="majorEastAsia" w:cstheme="majorEastAsia"/>
                <w:color w:val="auto"/>
                <w:kern w:val="2"/>
                <w:sz w:val="24"/>
                <w:szCs w:val="24"/>
              </w:rPr>
              <w:t>案例实施质量高、效果好的，能及时解决较大问题的得5分；</w:t>
            </w:r>
            <w:r>
              <w:rPr>
                <w:rFonts w:hint="eastAsia" w:asciiTheme="majorEastAsia" w:hAnsiTheme="majorEastAsia" w:eastAsiaTheme="majorEastAsia" w:cstheme="majorEastAsia"/>
                <w:color w:val="auto"/>
                <w:kern w:val="2"/>
                <w:sz w:val="24"/>
                <w:szCs w:val="24"/>
              </w:rPr>
              <w:br w:type="textWrapping"/>
            </w:r>
            <w:r>
              <w:rPr>
                <w:rFonts w:hint="eastAsia" w:asciiTheme="majorEastAsia" w:hAnsiTheme="majorEastAsia" w:eastAsiaTheme="majorEastAsia" w:cstheme="majorEastAsia"/>
                <w:color w:val="auto"/>
                <w:kern w:val="2"/>
                <w:sz w:val="24"/>
                <w:szCs w:val="24"/>
              </w:rPr>
              <w:t>案例实施有解决常规问题的得3分；</w:t>
            </w:r>
            <w:r>
              <w:rPr>
                <w:rFonts w:hint="eastAsia" w:asciiTheme="majorEastAsia" w:hAnsiTheme="majorEastAsia" w:eastAsiaTheme="majorEastAsia" w:cstheme="majorEastAsia"/>
                <w:color w:val="auto"/>
                <w:kern w:val="2"/>
                <w:sz w:val="24"/>
                <w:szCs w:val="24"/>
              </w:rPr>
              <w:br w:type="textWrapping"/>
            </w:r>
            <w:r>
              <w:rPr>
                <w:rFonts w:hint="eastAsia" w:asciiTheme="majorEastAsia" w:hAnsiTheme="majorEastAsia" w:eastAsiaTheme="majorEastAsia" w:cstheme="majorEastAsia"/>
                <w:color w:val="auto"/>
                <w:kern w:val="2"/>
                <w:sz w:val="24"/>
                <w:szCs w:val="24"/>
              </w:rPr>
              <w:t>不提供案例的，得0分。</w:t>
            </w:r>
          </w:p>
        </w:tc>
        <w:tc>
          <w:tcPr>
            <w:tcW w:w="86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1"/>
                <w:szCs w:val="21"/>
              </w:rPr>
            </w:pPr>
          </w:p>
        </w:tc>
      </w:tr>
    </w:tbl>
    <w:p>
      <w:pPr>
        <w:tabs>
          <w:tab w:val="left" w:pos="851"/>
        </w:tabs>
        <w:adjustRightInd w:val="0"/>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ab/>
      </w:r>
    </w:p>
    <w:p>
      <w:pPr>
        <w:tabs>
          <w:tab w:val="left" w:pos="851"/>
        </w:tabs>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表3 </w:t>
      </w:r>
      <w:r>
        <w:rPr>
          <w:rFonts w:hint="eastAsia" w:ascii="宋体" w:hAnsi="宋体" w:eastAsia="宋体" w:cs="宋体"/>
          <w:b/>
          <w:bCs/>
          <w:sz w:val="24"/>
          <w:szCs w:val="24"/>
        </w:rPr>
        <w:t>商务评审表</w:t>
      </w:r>
    </w:p>
    <w:tbl>
      <w:tblPr>
        <w:tblStyle w:val="11"/>
        <w:tblW w:w="9109" w:type="dxa"/>
        <w:tblInd w:w="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5"/>
        <w:gridCol w:w="1500"/>
        <w:gridCol w:w="6036"/>
        <w:gridCol w:w="8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32" w:hRule="atLeast"/>
        </w:trPr>
        <w:tc>
          <w:tcPr>
            <w:tcW w:w="7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序号</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评审项目</w:t>
            </w:r>
          </w:p>
        </w:tc>
        <w:tc>
          <w:tcPr>
            <w:tcW w:w="60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评审内容</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93" w:hRule="atLeast"/>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1</w:t>
            </w:r>
          </w:p>
        </w:tc>
        <w:tc>
          <w:tcPr>
            <w:tcW w:w="1500" w:type="dxa"/>
            <w:tcBorders>
              <w:top w:val="single" w:color="auto" w:sz="4" w:space="0"/>
              <w:left w:val="single" w:color="auto" w:sz="4" w:space="0"/>
              <w:bottom w:val="single" w:color="auto" w:sz="4" w:space="0"/>
              <w:right w:val="single" w:color="auto" w:sz="4" w:space="0"/>
            </w:tcBorders>
            <w:textDirection w:val="lrTb"/>
            <w:vAlign w:val="center"/>
          </w:tcPr>
          <w:p>
            <w:pPr>
              <w:spacing w:line="276" w:lineRule="auto"/>
              <w:ind w:left="-63" w:leftChars="-30" w:right="-88" w:rightChars="-42"/>
              <w:jc w:val="center"/>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color w:val="auto"/>
                <w:kern w:val="2"/>
                <w:sz w:val="24"/>
                <w:szCs w:val="24"/>
                <w:lang w:val="en-US" w:eastAsia="zh-CN"/>
              </w:rPr>
              <w:t>法人基本</w:t>
            </w:r>
            <w:r>
              <w:rPr>
                <w:rFonts w:hint="eastAsia" w:asciiTheme="majorEastAsia" w:hAnsiTheme="majorEastAsia" w:eastAsiaTheme="majorEastAsia" w:cstheme="majorEastAsia"/>
                <w:color w:val="auto"/>
                <w:kern w:val="2"/>
                <w:sz w:val="24"/>
                <w:szCs w:val="24"/>
              </w:rPr>
              <w:t>资质（</w:t>
            </w:r>
            <w:r>
              <w:rPr>
                <w:rFonts w:hint="eastAsia" w:asciiTheme="majorEastAsia" w:hAnsiTheme="majorEastAsia" w:eastAsiaTheme="majorEastAsia" w:cstheme="majorEastAsia"/>
                <w:color w:val="auto"/>
                <w:kern w:val="2"/>
                <w:sz w:val="24"/>
                <w:szCs w:val="24"/>
                <w:lang w:val="en-US" w:eastAsia="zh-CN"/>
              </w:rPr>
              <w:t>9</w:t>
            </w:r>
            <w:r>
              <w:rPr>
                <w:rFonts w:hint="eastAsia" w:asciiTheme="majorEastAsia" w:hAnsiTheme="majorEastAsia" w:eastAsiaTheme="majorEastAsia" w:cstheme="majorEastAsia"/>
                <w:color w:val="auto"/>
                <w:kern w:val="2"/>
                <w:sz w:val="24"/>
                <w:szCs w:val="24"/>
              </w:rPr>
              <w:t>分）</w:t>
            </w:r>
          </w:p>
        </w:tc>
        <w:tc>
          <w:tcPr>
            <w:tcW w:w="6036" w:type="dxa"/>
            <w:tcBorders>
              <w:top w:val="single" w:color="auto" w:sz="4" w:space="0"/>
              <w:left w:val="single" w:color="auto" w:sz="4" w:space="0"/>
              <w:bottom w:val="single" w:color="auto" w:sz="4" w:space="0"/>
              <w:right w:val="single" w:color="auto" w:sz="4" w:space="0"/>
            </w:tcBorders>
            <w:textDirection w:val="lrTb"/>
            <w:vAlign w:val="center"/>
          </w:tcPr>
          <w:p>
            <w:pPr>
              <w:numPr>
                <w:ilvl w:val="0"/>
                <w:numId w:val="1"/>
              </w:numPr>
              <w:spacing w:line="276" w:lineRule="auto"/>
              <w:ind w:right="-88" w:rightChars="-4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投标人应当是具有合法经营资格的法人，具有良好的信誉</w:t>
            </w:r>
            <w:r>
              <w:rPr>
                <w:rFonts w:hint="eastAsia" w:asciiTheme="majorEastAsia" w:hAnsiTheme="majorEastAsia" w:eastAsiaTheme="majorEastAsia" w:cstheme="majorEastAsia"/>
                <w:sz w:val="24"/>
                <w:szCs w:val="24"/>
                <w:lang w:val="en-US" w:eastAsia="zh-CN"/>
              </w:rPr>
              <w:t>并</w:t>
            </w:r>
            <w:r>
              <w:rPr>
                <w:rFonts w:hint="eastAsia" w:asciiTheme="majorEastAsia" w:hAnsiTheme="majorEastAsia" w:eastAsiaTheme="majorEastAsia" w:cstheme="majorEastAsia"/>
                <w:sz w:val="24"/>
                <w:szCs w:val="24"/>
              </w:rPr>
              <w:t>具有安全生产许可证</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全部满足得2分，否则得0分</w:t>
            </w:r>
            <w:r>
              <w:rPr>
                <w:rFonts w:hint="eastAsia" w:asciiTheme="majorEastAsia" w:hAnsiTheme="majorEastAsia" w:eastAsiaTheme="majorEastAsia" w:cstheme="majorEastAsia"/>
                <w:sz w:val="24"/>
                <w:szCs w:val="24"/>
                <w:lang w:eastAsia="zh-CN"/>
              </w:rPr>
              <w:t>。</w:t>
            </w:r>
          </w:p>
          <w:p>
            <w:pPr>
              <w:numPr>
                <w:ilvl w:val="0"/>
                <w:numId w:val="1"/>
              </w:numPr>
              <w:spacing w:line="276" w:lineRule="auto"/>
              <w:ind w:right="-88" w:rightChars="-4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投标人应当是具有IT服务管理体系</w:t>
            </w:r>
            <w:r>
              <w:rPr>
                <w:rFonts w:hint="eastAsia" w:asciiTheme="majorEastAsia" w:hAnsiTheme="majorEastAsia" w:eastAsiaTheme="majorEastAsia" w:cstheme="majorEastAsia"/>
                <w:sz w:val="24"/>
                <w:szCs w:val="24"/>
                <w:lang w:val="en-US" w:eastAsia="zh-CN"/>
              </w:rPr>
              <w:t>和</w:t>
            </w:r>
            <w:r>
              <w:rPr>
                <w:rFonts w:hint="eastAsia" w:asciiTheme="majorEastAsia" w:hAnsiTheme="majorEastAsia" w:eastAsiaTheme="majorEastAsia" w:cstheme="majorEastAsia"/>
                <w:sz w:val="24"/>
                <w:szCs w:val="24"/>
              </w:rPr>
              <w:t>信息安全管理体系认证证书</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全部满足得2分，否则得0分</w:t>
            </w:r>
            <w:r>
              <w:rPr>
                <w:rFonts w:hint="eastAsia" w:asciiTheme="majorEastAsia" w:hAnsiTheme="majorEastAsia" w:eastAsiaTheme="majorEastAsia" w:cstheme="majorEastAsia"/>
                <w:sz w:val="24"/>
                <w:szCs w:val="24"/>
                <w:lang w:eastAsia="zh-CN"/>
              </w:rPr>
              <w:t>。</w:t>
            </w:r>
          </w:p>
          <w:p>
            <w:pPr>
              <w:numPr>
                <w:ilvl w:val="0"/>
                <w:numId w:val="1"/>
              </w:numPr>
              <w:spacing w:line="276" w:lineRule="auto"/>
              <w:ind w:right="-88" w:rightChars="-42"/>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color w:val="auto"/>
                <w:kern w:val="2"/>
                <w:sz w:val="24"/>
                <w:szCs w:val="24"/>
                <w:lang w:val="en-US" w:eastAsia="zh-CN"/>
              </w:rPr>
              <w:t>投标人具有涉及国家秘密的信息系统集成运行维护资质，满足得3分，</w:t>
            </w:r>
            <w:r>
              <w:rPr>
                <w:rFonts w:hint="eastAsia" w:asciiTheme="majorEastAsia" w:hAnsiTheme="majorEastAsia" w:eastAsiaTheme="majorEastAsia" w:cstheme="majorEastAsia"/>
                <w:sz w:val="24"/>
                <w:szCs w:val="24"/>
                <w:lang w:val="en-US" w:eastAsia="zh-CN"/>
              </w:rPr>
              <w:t>不满足倒扣3分。</w:t>
            </w:r>
          </w:p>
          <w:p>
            <w:pPr>
              <w:numPr>
                <w:ilvl w:val="0"/>
                <w:numId w:val="1"/>
              </w:numPr>
              <w:spacing w:line="276" w:lineRule="auto"/>
              <w:ind w:right="-88" w:rightChars="-42"/>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sz w:val="24"/>
                <w:szCs w:val="24"/>
              </w:rPr>
              <w:t>投标人具有信息系统安全运维服务资质</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color w:val="auto"/>
                <w:kern w:val="2"/>
                <w:sz w:val="24"/>
                <w:szCs w:val="24"/>
                <w:lang w:val="en-US" w:eastAsia="zh-CN"/>
              </w:rPr>
              <w:t>满足得2分，</w:t>
            </w:r>
            <w:r>
              <w:rPr>
                <w:rFonts w:hint="eastAsia" w:asciiTheme="majorEastAsia" w:hAnsiTheme="majorEastAsia" w:eastAsiaTheme="majorEastAsia" w:cstheme="majorEastAsia"/>
                <w:sz w:val="24"/>
                <w:szCs w:val="24"/>
                <w:lang w:val="en-US" w:eastAsia="zh-CN"/>
              </w:rPr>
              <w:t>不满足倒扣2分。</w:t>
            </w:r>
          </w:p>
        </w:tc>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ajorEastAsia" w:hAnsiTheme="majorEastAsia" w:eastAsiaTheme="majorEastAsia" w:cstheme="majorEastAsia"/>
                <w:b/>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1" w:hRule="atLeast"/>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2</w:t>
            </w:r>
          </w:p>
        </w:tc>
        <w:tc>
          <w:tcPr>
            <w:tcW w:w="1500" w:type="dxa"/>
            <w:tcBorders>
              <w:top w:val="single" w:color="auto" w:sz="4" w:space="0"/>
              <w:left w:val="single" w:color="auto" w:sz="4" w:space="0"/>
              <w:bottom w:val="single" w:color="auto" w:sz="4" w:space="0"/>
              <w:right w:val="single" w:color="auto" w:sz="4" w:space="0"/>
            </w:tcBorders>
            <w:textDirection w:val="lrTb"/>
            <w:vAlign w:val="center"/>
          </w:tcPr>
          <w:p>
            <w:pPr>
              <w:spacing w:line="276" w:lineRule="auto"/>
              <w:ind w:left="-63" w:leftChars="-30" w:right="-88" w:rightChars="-42"/>
              <w:jc w:val="center"/>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color w:val="auto"/>
                <w:kern w:val="2"/>
                <w:sz w:val="24"/>
                <w:szCs w:val="24"/>
                <w:lang w:val="en-US" w:eastAsia="zh-CN"/>
              </w:rPr>
              <w:t>运维相关资质</w:t>
            </w:r>
            <w:r>
              <w:rPr>
                <w:rFonts w:hint="eastAsia" w:asciiTheme="majorEastAsia" w:hAnsiTheme="majorEastAsia" w:eastAsiaTheme="majorEastAsia" w:cstheme="majorEastAsia"/>
                <w:color w:val="auto"/>
                <w:kern w:val="2"/>
                <w:sz w:val="24"/>
                <w:szCs w:val="24"/>
              </w:rPr>
              <w:t>（</w:t>
            </w:r>
            <w:r>
              <w:rPr>
                <w:rFonts w:hint="eastAsia" w:asciiTheme="majorEastAsia" w:hAnsiTheme="majorEastAsia" w:eastAsiaTheme="majorEastAsia" w:cstheme="majorEastAsia"/>
                <w:color w:val="auto"/>
                <w:kern w:val="2"/>
                <w:sz w:val="24"/>
                <w:szCs w:val="24"/>
                <w:lang w:val="en-US" w:eastAsia="zh-CN"/>
              </w:rPr>
              <w:t>12</w:t>
            </w:r>
            <w:r>
              <w:rPr>
                <w:rFonts w:hint="eastAsia" w:asciiTheme="majorEastAsia" w:hAnsiTheme="majorEastAsia" w:eastAsiaTheme="majorEastAsia" w:cstheme="majorEastAsia"/>
                <w:color w:val="auto"/>
                <w:kern w:val="2"/>
                <w:sz w:val="24"/>
                <w:szCs w:val="24"/>
              </w:rPr>
              <w:t>分）</w:t>
            </w:r>
          </w:p>
        </w:tc>
        <w:tc>
          <w:tcPr>
            <w:tcW w:w="6036" w:type="dxa"/>
            <w:tcBorders>
              <w:top w:val="single" w:color="auto" w:sz="4" w:space="0"/>
              <w:left w:val="single" w:color="auto" w:sz="4" w:space="0"/>
              <w:bottom w:val="single" w:color="auto" w:sz="4" w:space="0"/>
              <w:right w:val="single" w:color="auto" w:sz="4" w:space="0"/>
            </w:tcBorders>
            <w:textDirection w:val="lrTb"/>
            <w:vAlign w:val="center"/>
          </w:tcPr>
          <w:p>
            <w:pPr>
              <w:numPr>
                <w:ilvl w:val="0"/>
                <w:numId w:val="0"/>
              </w:numPr>
              <w:spacing w:line="276" w:lineRule="auto"/>
              <w:ind w:right="-88" w:rightChars="-42"/>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每满足以下一项（包括但不仅限于与IT运维相关的）得2分，最高得12分：</w:t>
            </w:r>
          </w:p>
          <w:p>
            <w:pPr>
              <w:numPr>
                <w:ilvl w:val="0"/>
                <w:numId w:val="0"/>
              </w:numPr>
              <w:spacing w:line="276" w:lineRule="auto"/>
              <w:ind w:right="-88" w:rightChars="-42"/>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（1）具有涉及国家秘密的信息系统集成资质；</w:t>
            </w:r>
          </w:p>
          <w:p>
            <w:pPr>
              <w:numPr>
                <w:ilvl w:val="0"/>
                <w:numId w:val="0"/>
              </w:numPr>
              <w:spacing w:line="276" w:lineRule="auto"/>
              <w:ind w:right="-88" w:rightChars="-42"/>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（2）具有信息系统安全集成服务资质；</w:t>
            </w:r>
          </w:p>
          <w:p>
            <w:pPr>
              <w:numPr>
                <w:ilvl w:val="0"/>
                <w:numId w:val="0"/>
              </w:numPr>
              <w:spacing w:line="276" w:lineRule="auto"/>
              <w:ind w:right="-88" w:rightChars="-42"/>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（3）具有安防工程设计、施工、维护二级或以上资质；</w:t>
            </w:r>
          </w:p>
          <w:p>
            <w:pPr>
              <w:numPr>
                <w:ilvl w:val="0"/>
                <w:numId w:val="0"/>
              </w:numPr>
              <w:spacing w:line="276" w:lineRule="auto"/>
              <w:ind w:right="-88" w:rightChars="-42"/>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（4）具有电子与智能化工程专业承包二级或以上资质；</w:t>
            </w:r>
          </w:p>
          <w:p>
            <w:pPr>
              <w:numPr>
                <w:ilvl w:val="0"/>
                <w:numId w:val="0"/>
              </w:numPr>
              <w:spacing w:line="276" w:lineRule="auto"/>
              <w:ind w:right="-88" w:rightChars="-42"/>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（5）具有音视频集成工程企业二级以上资质；</w:t>
            </w:r>
          </w:p>
          <w:p>
            <w:pPr>
              <w:numPr>
                <w:ilvl w:val="0"/>
                <w:numId w:val="0"/>
              </w:numPr>
              <w:spacing w:line="276" w:lineRule="auto"/>
              <w:ind w:left="0" w:leftChars="0" w:right="-88" w:rightChars="-42" w:firstLine="0" w:firstLineChars="0"/>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sz w:val="24"/>
                <w:szCs w:val="24"/>
                <w:lang w:val="en-US" w:eastAsia="zh-CN"/>
              </w:rPr>
              <w:t>（6）具有软件成熟度相关级别资质。</w:t>
            </w:r>
          </w:p>
        </w:tc>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ajorEastAsia" w:hAnsiTheme="majorEastAsia" w:eastAsiaTheme="majorEastAsia" w:cstheme="majorEastAsia"/>
                <w:b/>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75" w:hRule="atLeast"/>
        </w:trPr>
        <w:tc>
          <w:tcPr>
            <w:tcW w:w="74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3</w:t>
            </w:r>
          </w:p>
        </w:tc>
        <w:tc>
          <w:tcPr>
            <w:tcW w:w="1500" w:type="dxa"/>
            <w:tcBorders>
              <w:top w:val="single" w:color="auto" w:sz="4" w:space="0"/>
              <w:left w:val="single" w:color="auto" w:sz="4" w:space="0"/>
              <w:bottom w:val="single" w:color="auto" w:sz="4" w:space="0"/>
              <w:right w:val="single" w:color="auto" w:sz="4" w:space="0"/>
            </w:tcBorders>
            <w:textDirection w:val="lrTb"/>
            <w:vAlign w:val="center"/>
          </w:tcPr>
          <w:p>
            <w:pPr>
              <w:spacing w:line="276" w:lineRule="auto"/>
              <w:ind w:left="-63" w:leftChars="-30" w:right="-88" w:rightChars="-42"/>
              <w:jc w:val="center"/>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color w:val="auto"/>
                <w:kern w:val="2"/>
                <w:sz w:val="24"/>
                <w:szCs w:val="24"/>
                <w:lang w:val="en-US" w:eastAsia="zh-CN"/>
              </w:rPr>
              <w:t>重大紧急故障排除预</w:t>
            </w:r>
            <w:r>
              <w:rPr>
                <w:rFonts w:hint="eastAsia" w:asciiTheme="majorEastAsia" w:hAnsiTheme="majorEastAsia" w:eastAsiaTheme="majorEastAsia" w:cstheme="majorEastAsia"/>
                <w:color w:val="auto"/>
                <w:kern w:val="2"/>
                <w:sz w:val="24"/>
                <w:szCs w:val="24"/>
              </w:rPr>
              <w:t>案（</w:t>
            </w:r>
            <w:r>
              <w:rPr>
                <w:rFonts w:hint="eastAsia" w:asciiTheme="majorEastAsia" w:hAnsiTheme="majorEastAsia" w:eastAsiaTheme="majorEastAsia" w:cstheme="majorEastAsia"/>
                <w:color w:val="auto"/>
                <w:kern w:val="2"/>
                <w:sz w:val="24"/>
                <w:szCs w:val="24"/>
                <w:lang w:val="en-US" w:eastAsia="zh-CN"/>
              </w:rPr>
              <w:t>6</w:t>
            </w:r>
            <w:r>
              <w:rPr>
                <w:rFonts w:hint="eastAsia" w:asciiTheme="majorEastAsia" w:hAnsiTheme="majorEastAsia" w:eastAsiaTheme="majorEastAsia" w:cstheme="majorEastAsia"/>
                <w:color w:val="auto"/>
                <w:kern w:val="2"/>
                <w:sz w:val="24"/>
                <w:szCs w:val="24"/>
              </w:rPr>
              <w:t>分）</w:t>
            </w:r>
          </w:p>
        </w:tc>
        <w:tc>
          <w:tcPr>
            <w:tcW w:w="6036" w:type="dxa"/>
            <w:tcBorders>
              <w:top w:val="single" w:color="auto" w:sz="4" w:space="0"/>
              <w:left w:val="single" w:color="auto" w:sz="4" w:space="0"/>
              <w:bottom w:val="single" w:color="auto" w:sz="4" w:space="0"/>
              <w:right w:val="single" w:color="auto" w:sz="4" w:space="0"/>
            </w:tcBorders>
            <w:textDirection w:val="lrTb"/>
            <w:vAlign w:val="center"/>
          </w:tcPr>
          <w:p>
            <w:pPr>
              <w:spacing w:line="276" w:lineRule="auto"/>
              <w:ind w:right="-88" w:rightChars="-42"/>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rPr>
              <w:t>具有完善具体可行的</w:t>
            </w:r>
            <w:r>
              <w:rPr>
                <w:rFonts w:hint="eastAsia" w:asciiTheme="majorEastAsia" w:hAnsiTheme="majorEastAsia" w:eastAsiaTheme="majorEastAsia" w:cstheme="majorEastAsia"/>
                <w:color w:val="auto"/>
                <w:kern w:val="2"/>
                <w:sz w:val="24"/>
                <w:szCs w:val="24"/>
                <w:lang w:val="en-US" w:eastAsia="zh-CN"/>
              </w:rPr>
              <w:t>重大紧急故障技术保障预</w:t>
            </w:r>
            <w:r>
              <w:rPr>
                <w:rFonts w:hint="eastAsia" w:asciiTheme="majorEastAsia" w:hAnsiTheme="majorEastAsia" w:eastAsiaTheme="majorEastAsia" w:cstheme="majorEastAsia"/>
                <w:color w:val="auto"/>
                <w:kern w:val="2"/>
                <w:sz w:val="24"/>
                <w:szCs w:val="24"/>
              </w:rPr>
              <w:t>案，响应速度快（1小时响应，</w:t>
            </w:r>
            <w:r>
              <w:rPr>
                <w:rFonts w:hint="eastAsia" w:asciiTheme="majorEastAsia" w:hAnsiTheme="majorEastAsia" w:eastAsiaTheme="majorEastAsia" w:cstheme="majorEastAsia"/>
                <w:color w:val="auto"/>
                <w:kern w:val="2"/>
                <w:sz w:val="24"/>
                <w:szCs w:val="24"/>
                <w:lang w:val="en-US" w:eastAsia="zh-CN"/>
              </w:rPr>
              <w:t>24小时</w:t>
            </w:r>
            <w:r>
              <w:rPr>
                <w:rFonts w:hint="eastAsia" w:asciiTheme="majorEastAsia" w:hAnsiTheme="majorEastAsia" w:eastAsiaTheme="majorEastAsia" w:cstheme="majorEastAsia"/>
                <w:color w:val="auto"/>
                <w:kern w:val="2"/>
                <w:sz w:val="24"/>
                <w:szCs w:val="24"/>
              </w:rPr>
              <w:t>解决），满足采购人需求，得</w:t>
            </w:r>
            <w:r>
              <w:rPr>
                <w:rFonts w:hint="eastAsia" w:asciiTheme="majorEastAsia" w:hAnsiTheme="majorEastAsia" w:eastAsiaTheme="majorEastAsia" w:cstheme="majorEastAsia"/>
                <w:color w:val="auto"/>
                <w:kern w:val="2"/>
                <w:sz w:val="24"/>
                <w:szCs w:val="24"/>
                <w:lang w:val="en-US" w:eastAsia="zh-CN"/>
              </w:rPr>
              <w:t>6</w:t>
            </w:r>
            <w:r>
              <w:rPr>
                <w:rFonts w:hint="eastAsia" w:asciiTheme="majorEastAsia" w:hAnsiTheme="majorEastAsia" w:eastAsiaTheme="majorEastAsia" w:cstheme="majorEastAsia"/>
                <w:color w:val="auto"/>
                <w:kern w:val="2"/>
                <w:sz w:val="24"/>
                <w:szCs w:val="24"/>
              </w:rPr>
              <w:t>分；</w:t>
            </w:r>
          </w:p>
          <w:p>
            <w:pPr>
              <w:spacing w:line="276" w:lineRule="auto"/>
              <w:ind w:right="-88" w:rightChars="-42"/>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rPr>
              <w:t>有提供完整</w:t>
            </w:r>
            <w:r>
              <w:rPr>
                <w:rFonts w:hint="eastAsia" w:asciiTheme="majorEastAsia" w:hAnsiTheme="majorEastAsia" w:eastAsiaTheme="majorEastAsia" w:cstheme="majorEastAsia"/>
                <w:color w:val="auto"/>
                <w:kern w:val="2"/>
                <w:sz w:val="24"/>
                <w:szCs w:val="24"/>
                <w:lang w:val="en-US" w:eastAsia="zh-CN"/>
              </w:rPr>
              <w:t>重大紧急故障排除预</w:t>
            </w:r>
            <w:r>
              <w:rPr>
                <w:rFonts w:hint="eastAsia" w:asciiTheme="majorEastAsia" w:hAnsiTheme="majorEastAsia" w:eastAsiaTheme="majorEastAsia" w:cstheme="majorEastAsia"/>
                <w:color w:val="auto"/>
                <w:kern w:val="2"/>
                <w:sz w:val="24"/>
                <w:szCs w:val="24"/>
              </w:rPr>
              <w:t>案，且有一定的可行性，响应及时（2小时响应，48小时解决），</w:t>
            </w:r>
            <w:r>
              <w:rPr>
                <w:rFonts w:hint="eastAsia" w:asciiTheme="majorEastAsia" w:hAnsiTheme="majorEastAsia" w:eastAsiaTheme="majorEastAsia" w:cstheme="majorEastAsia"/>
                <w:color w:val="auto"/>
                <w:kern w:val="2"/>
                <w:sz w:val="24"/>
                <w:szCs w:val="24"/>
                <w:lang w:val="en-US" w:eastAsia="zh-CN"/>
              </w:rPr>
              <w:t>故障排除预</w:t>
            </w:r>
            <w:r>
              <w:rPr>
                <w:rFonts w:hint="eastAsia" w:asciiTheme="majorEastAsia" w:hAnsiTheme="majorEastAsia" w:eastAsiaTheme="majorEastAsia" w:cstheme="majorEastAsia"/>
                <w:color w:val="auto"/>
                <w:kern w:val="2"/>
                <w:sz w:val="24"/>
                <w:szCs w:val="24"/>
              </w:rPr>
              <w:t>案基本满足采购人需求，得</w:t>
            </w:r>
            <w:r>
              <w:rPr>
                <w:rFonts w:hint="eastAsia" w:asciiTheme="majorEastAsia" w:hAnsiTheme="majorEastAsia" w:eastAsiaTheme="majorEastAsia" w:cstheme="majorEastAsia"/>
                <w:color w:val="auto"/>
                <w:kern w:val="2"/>
                <w:sz w:val="24"/>
                <w:szCs w:val="24"/>
                <w:lang w:val="en-US" w:eastAsia="zh-CN"/>
              </w:rPr>
              <w:t>4</w:t>
            </w:r>
            <w:r>
              <w:rPr>
                <w:rFonts w:hint="eastAsia" w:asciiTheme="majorEastAsia" w:hAnsiTheme="majorEastAsia" w:eastAsiaTheme="majorEastAsia" w:cstheme="majorEastAsia"/>
                <w:color w:val="auto"/>
                <w:kern w:val="2"/>
                <w:sz w:val="24"/>
                <w:szCs w:val="24"/>
              </w:rPr>
              <w:t>分；</w:t>
            </w:r>
          </w:p>
          <w:p>
            <w:pPr>
              <w:spacing w:line="276" w:lineRule="auto"/>
              <w:ind w:right="-88" w:rightChars="-42"/>
              <w:rPr>
                <w:rFonts w:hint="eastAsia"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kern w:val="2"/>
                <w:sz w:val="24"/>
                <w:szCs w:val="24"/>
              </w:rPr>
              <w:t>有</w:t>
            </w:r>
            <w:r>
              <w:rPr>
                <w:rFonts w:hint="eastAsia" w:asciiTheme="majorEastAsia" w:hAnsiTheme="majorEastAsia" w:eastAsiaTheme="majorEastAsia" w:cstheme="majorEastAsia"/>
                <w:color w:val="auto"/>
                <w:kern w:val="2"/>
                <w:sz w:val="24"/>
                <w:szCs w:val="24"/>
                <w:lang w:val="en-US" w:eastAsia="zh-CN"/>
              </w:rPr>
              <w:t>重大紧急故障排除预</w:t>
            </w:r>
            <w:r>
              <w:rPr>
                <w:rFonts w:hint="eastAsia" w:asciiTheme="majorEastAsia" w:hAnsiTheme="majorEastAsia" w:eastAsiaTheme="majorEastAsia" w:cstheme="majorEastAsia"/>
                <w:color w:val="auto"/>
                <w:kern w:val="2"/>
                <w:sz w:val="24"/>
                <w:szCs w:val="24"/>
              </w:rPr>
              <w:t>案，响应及时（2小时响应，48小时解决），但可行性不强，</w:t>
            </w:r>
            <w:r>
              <w:rPr>
                <w:rFonts w:hint="eastAsia" w:asciiTheme="majorEastAsia" w:hAnsiTheme="majorEastAsia" w:eastAsiaTheme="majorEastAsia" w:cstheme="majorEastAsia"/>
                <w:color w:val="auto"/>
                <w:kern w:val="2"/>
                <w:sz w:val="24"/>
                <w:szCs w:val="24"/>
                <w:lang w:val="en-US" w:eastAsia="zh-CN"/>
              </w:rPr>
              <w:t>预案</w:t>
            </w:r>
            <w:r>
              <w:rPr>
                <w:rFonts w:hint="eastAsia" w:asciiTheme="majorEastAsia" w:hAnsiTheme="majorEastAsia" w:eastAsiaTheme="majorEastAsia" w:cstheme="majorEastAsia"/>
                <w:color w:val="auto"/>
                <w:kern w:val="2"/>
                <w:sz w:val="24"/>
                <w:szCs w:val="24"/>
              </w:rPr>
              <w:t>内容不完善，</w:t>
            </w:r>
            <w:r>
              <w:rPr>
                <w:rFonts w:hint="eastAsia" w:asciiTheme="majorEastAsia" w:hAnsiTheme="majorEastAsia" w:eastAsiaTheme="majorEastAsia" w:cstheme="majorEastAsia"/>
                <w:color w:val="auto"/>
                <w:kern w:val="2"/>
                <w:sz w:val="24"/>
                <w:szCs w:val="24"/>
                <w:lang w:val="en-US" w:eastAsia="zh-CN"/>
              </w:rPr>
              <w:t>故障排除预</w:t>
            </w:r>
            <w:r>
              <w:rPr>
                <w:rFonts w:hint="eastAsia" w:asciiTheme="majorEastAsia" w:hAnsiTheme="majorEastAsia" w:eastAsiaTheme="majorEastAsia" w:cstheme="majorEastAsia"/>
                <w:color w:val="auto"/>
                <w:kern w:val="2"/>
                <w:sz w:val="24"/>
                <w:szCs w:val="24"/>
              </w:rPr>
              <w:t>案完整性有缺漏，得</w:t>
            </w:r>
            <w:r>
              <w:rPr>
                <w:rFonts w:hint="eastAsia" w:asciiTheme="majorEastAsia" w:hAnsiTheme="majorEastAsia" w:eastAsiaTheme="majorEastAsia" w:cstheme="majorEastAsia"/>
                <w:color w:val="auto"/>
                <w:kern w:val="2"/>
                <w:sz w:val="24"/>
                <w:szCs w:val="24"/>
                <w:lang w:val="en-US" w:eastAsia="zh-CN"/>
              </w:rPr>
              <w:t>2</w:t>
            </w:r>
            <w:r>
              <w:rPr>
                <w:rFonts w:hint="eastAsia" w:asciiTheme="majorEastAsia" w:hAnsiTheme="majorEastAsia" w:eastAsiaTheme="majorEastAsia" w:cstheme="majorEastAsia"/>
                <w:color w:val="auto"/>
                <w:kern w:val="2"/>
                <w:sz w:val="24"/>
                <w:szCs w:val="24"/>
              </w:rPr>
              <w:t>分；</w:t>
            </w:r>
          </w:p>
          <w:p>
            <w:pPr>
              <w:spacing w:line="276" w:lineRule="auto"/>
              <w:ind w:right="-88" w:rightChars="-42"/>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color w:val="auto"/>
                <w:kern w:val="2"/>
                <w:sz w:val="24"/>
                <w:szCs w:val="24"/>
                <w:lang w:val="en-US" w:eastAsia="zh-CN"/>
              </w:rPr>
              <w:t>无重大紧急故障排除预案或者相关预案可行性不强</w:t>
            </w:r>
            <w:r>
              <w:rPr>
                <w:rFonts w:hint="eastAsia" w:asciiTheme="majorEastAsia" w:hAnsiTheme="majorEastAsia" w:eastAsiaTheme="majorEastAsia" w:cstheme="majorEastAsia"/>
                <w:color w:val="auto"/>
                <w:kern w:val="2"/>
                <w:sz w:val="24"/>
                <w:szCs w:val="24"/>
              </w:rPr>
              <w:t>，得0分。</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72" w:hRule="atLeast"/>
        </w:trPr>
        <w:tc>
          <w:tcPr>
            <w:tcW w:w="74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4</w:t>
            </w:r>
          </w:p>
        </w:tc>
        <w:tc>
          <w:tcPr>
            <w:tcW w:w="1500" w:type="dxa"/>
            <w:tcBorders>
              <w:top w:val="single" w:color="auto" w:sz="4" w:space="0"/>
              <w:left w:val="single" w:color="auto" w:sz="4" w:space="0"/>
              <w:bottom w:val="single" w:color="auto" w:sz="4" w:space="0"/>
              <w:right w:val="single" w:color="auto" w:sz="4" w:space="0"/>
            </w:tcBorders>
            <w:textDirection w:val="lrTb"/>
            <w:vAlign w:val="center"/>
          </w:tcPr>
          <w:p>
            <w:pPr>
              <w:spacing w:line="264" w:lineRule="auto"/>
              <w:ind w:left="-63" w:leftChars="-30" w:right="-88" w:rightChars="-42"/>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color w:val="auto"/>
                <w:kern w:val="2"/>
                <w:sz w:val="24"/>
                <w:szCs w:val="24"/>
              </w:rPr>
              <w:t>同类项目经验（</w:t>
            </w:r>
            <w:r>
              <w:rPr>
                <w:rFonts w:hint="eastAsia" w:asciiTheme="majorEastAsia" w:hAnsiTheme="majorEastAsia" w:eastAsiaTheme="majorEastAsia" w:cstheme="majorEastAsia"/>
                <w:color w:val="auto"/>
                <w:kern w:val="2"/>
                <w:sz w:val="24"/>
                <w:szCs w:val="24"/>
                <w:lang w:val="en-US" w:eastAsia="zh-CN"/>
              </w:rPr>
              <w:t>3</w:t>
            </w:r>
            <w:r>
              <w:rPr>
                <w:rFonts w:hint="eastAsia" w:asciiTheme="majorEastAsia" w:hAnsiTheme="majorEastAsia" w:eastAsiaTheme="majorEastAsia" w:cstheme="majorEastAsia"/>
                <w:color w:val="auto"/>
                <w:kern w:val="2"/>
                <w:sz w:val="24"/>
                <w:szCs w:val="24"/>
              </w:rPr>
              <w:t>分）</w:t>
            </w:r>
          </w:p>
        </w:tc>
        <w:tc>
          <w:tcPr>
            <w:tcW w:w="6036" w:type="dxa"/>
            <w:tcBorders>
              <w:top w:val="single" w:color="auto" w:sz="4" w:space="0"/>
              <w:left w:val="single" w:color="auto" w:sz="4" w:space="0"/>
              <w:bottom w:val="single" w:color="auto" w:sz="4" w:space="0"/>
              <w:right w:val="single" w:color="auto" w:sz="4" w:space="0"/>
            </w:tcBorders>
            <w:textDirection w:val="lrTb"/>
            <w:vAlign w:val="center"/>
          </w:tcPr>
          <w:p>
            <w:pPr>
              <w:spacing w:line="264" w:lineRule="auto"/>
              <w:ind w:left="-63" w:leftChars="-30" w:right="-88" w:rightChars="-42"/>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color w:val="auto"/>
                <w:kern w:val="2"/>
                <w:sz w:val="24"/>
                <w:szCs w:val="24"/>
              </w:rPr>
              <w:t>投标人2017年1月1日至今（以合同签订时间为准）承担过同类项目（</w:t>
            </w:r>
            <w:r>
              <w:rPr>
                <w:rFonts w:hint="eastAsia" w:asciiTheme="majorEastAsia" w:hAnsiTheme="majorEastAsia" w:eastAsiaTheme="majorEastAsia" w:cstheme="majorEastAsia"/>
                <w:color w:val="auto"/>
                <w:kern w:val="2"/>
                <w:sz w:val="24"/>
                <w:szCs w:val="24"/>
                <w:lang w:val="en-US" w:eastAsia="zh-CN"/>
              </w:rPr>
              <w:t>运维</w:t>
            </w:r>
            <w:r>
              <w:rPr>
                <w:rFonts w:hint="eastAsia" w:asciiTheme="majorEastAsia" w:hAnsiTheme="majorEastAsia" w:eastAsiaTheme="majorEastAsia" w:cstheme="majorEastAsia"/>
                <w:color w:val="auto"/>
                <w:kern w:val="2"/>
                <w:sz w:val="24"/>
                <w:szCs w:val="24"/>
              </w:rPr>
              <w:t>类项目），每份合同得 1分；没有的不得分；本项最高得</w:t>
            </w:r>
            <w:r>
              <w:rPr>
                <w:rFonts w:hint="eastAsia" w:asciiTheme="majorEastAsia" w:hAnsiTheme="majorEastAsia" w:eastAsiaTheme="majorEastAsia" w:cstheme="majorEastAsia"/>
                <w:color w:val="auto"/>
                <w:kern w:val="2"/>
                <w:sz w:val="24"/>
                <w:szCs w:val="24"/>
                <w:lang w:val="en-US" w:eastAsia="zh-CN"/>
              </w:rPr>
              <w:t>3</w:t>
            </w:r>
            <w:r>
              <w:rPr>
                <w:rFonts w:hint="eastAsia" w:asciiTheme="majorEastAsia" w:hAnsiTheme="majorEastAsia" w:eastAsiaTheme="majorEastAsia" w:cstheme="majorEastAsia"/>
                <w:color w:val="auto"/>
                <w:kern w:val="2"/>
                <w:sz w:val="24"/>
                <w:szCs w:val="24"/>
              </w:rPr>
              <w:t>分。</w:t>
            </w:r>
            <w:r>
              <w:rPr>
                <w:rFonts w:hint="eastAsia" w:asciiTheme="majorEastAsia" w:hAnsiTheme="majorEastAsia" w:eastAsiaTheme="majorEastAsia" w:cstheme="majorEastAsia"/>
                <w:color w:val="auto"/>
                <w:kern w:val="2"/>
                <w:sz w:val="24"/>
                <w:szCs w:val="24"/>
              </w:rPr>
              <w:br w:type="textWrapping"/>
            </w:r>
            <w:r>
              <w:rPr>
                <w:rFonts w:hint="eastAsia" w:asciiTheme="majorEastAsia" w:hAnsiTheme="majorEastAsia" w:eastAsiaTheme="majorEastAsia" w:cstheme="majorEastAsia"/>
                <w:color w:val="auto"/>
                <w:kern w:val="2"/>
                <w:sz w:val="24"/>
                <w:szCs w:val="24"/>
              </w:rPr>
              <w:t>注：需在投标文件中提供合同</w:t>
            </w:r>
            <w:r>
              <w:rPr>
                <w:rFonts w:hint="eastAsia" w:asciiTheme="majorEastAsia" w:hAnsiTheme="majorEastAsia" w:eastAsiaTheme="majorEastAsia" w:cstheme="majorEastAsia"/>
                <w:color w:val="auto"/>
                <w:kern w:val="2"/>
                <w:sz w:val="24"/>
                <w:szCs w:val="24"/>
                <w:lang w:val="en-US" w:eastAsia="zh-CN"/>
              </w:rPr>
              <w:t>资料</w:t>
            </w:r>
            <w:r>
              <w:rPr>
                <w:rFonts w:hint="eastAsia" w:asciiTheme="majorEastAsia" w:hAnsiTheme="majorEastAsia" w:eastAsiaTheme="majorEastAsia" w:cstheme="majorEastAsia"/>
                <w:color w:val="auto"/>
                <w:kern w:val="2"/>
                <w:sz w:val="24"/>
                <w:szCs w:val="24"/>
              </w:rPr>
              <w:t>，否则不得分。</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sz w:val="24"/>
                <w:szCs w:val="24"/>
              </w:rPr>
            </w:pPr>
          </w:p>
        </w:tc>
      </w:tr>
    </w:tbl>
    <w:p>
      <w:pPr>
        <w:pStyle w:val="7"/>
        <w:adjustRightInd w:val="0"/>
        <w:snapToGrid w:val="0"/>
        <w:spacing w:line="360" w:lineRule="auto"/>
        <w:rPr>
          <w:rFonts w:hint="eastAsia" w:hAnsi="宋体" w:cs="Times New Roman"/>
        </w:rPr>
      </w:pPr>
    </w:p>
    <w:p>
      <w:pPr>
        <w:pStyle w:val="7"/>
        <w:adjustRightInd w:val="0"/>
        <w:snapToGrid w:val="0"/>
        <w:spacing w:line="360" w:lineRule="auto"/>
        <w:ind w:left="850" w:hanging="850" w:hangingChars="405"/>
        <w:jc w:val="center"/>
        <w:rPr>
          <w:rFonts w:hint="eastAsia" w:hAnsi="宋体" w:cs="Times New Roman"/>
          <w:b/>
          <w:bCs/>
          <w:sz w:val="24"/>
          <w:szCs w:val="24"/>
          <w:lang w:val="en-US" w:eastAsia="zh-CN"/>
        </w:rPr>
      </w:pPr>
      <w:r>
        <w:rPr>
          <w:rFonts w:hint="eastAsia" w:hAnsi="宋体" w:cs="Times New Roman"/>
          <w:b/>
          <w:bCs/>
          <w:sz w:val="24"/>
          <w:szCs w:val="24"/>
          <w:lang w:val="en-US" w:eastAsia="zh-CN"/>
        </w:rPr>
        <w:t xml:space="preserve">表4 </w:t>
      </w:r>
      <w:r>
        <w:rPr>
          <w:rFonts w:hint="eastAsia" w:hAnsi="宋体" w:cs="Times New Roman"/>
          <w:b/>
          <w:bCs/>
          <w:sz w:val="24"/>
          <w:szCs w:val="24"/>
        </w:rPr>
        <w:t>价格评审</w:t>
      </w:r>
      <w:r>
        <w:rPr>
          <w:rFonts w:hint="eastAsia" w:hAnsi="宋体" w:cs="Times New Roman"/>
          <w:b/>
          <w:bCs/>
          <w:sz w:val="24"/>
          <w:szCs w:val="24"/>
          <w:lang w:val="en-US" w:eastAsia="zh-CN"/>
        </w:rPr>
        <w:t>细则</w:t>
      </w:r>
    </w:p>
    <w:tbl>
      <w:tblPr>
        <w:tblStyle w:val="11"/>
        <w:tblW w:w="9109" w:type="dxa"/>
        <w:tblInd w:w="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5"/>
        <w:gridCol w:w="1500"/>
        <w:gridCol w:w="6036"/>
        <w:gridCol w:w="8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32" w:hRule="atLeast"/>
        </w:trPr>
        <w:tc>
          <w:tcPr>
            <w:tcW w:w="7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序号</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评审项目</w:t>
            </w:r>
          </w:p>
        </w:tc>
        <w:tc>
          <w:tcPr>
            <w:tcW w:w="60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评审内容</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93" w:hRule="atLeast"/>
        </w:trPr>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1</w:t>
            </w:r>
          </w:p>
        </w:tc>
        <w:tc>
          <w:tcPr>
            <w:tcW w:w="1500" w:type="dxa"/>
            <w:tcBorders>
              <w:top w:val="single" w:color="auto" w:sz="4" w:space="0"/>
              <w:left w:val="single" w:color="auto" w:sz="4" w:space="0"/>
              <w:bottom w:val="single" w:color="auto" w:sz="4" w:space="0"/>
              <w:right w:val="single" w:color="auto" w:sz="4" w:space="0"/>
            </w:tcBorders>
            <w:textDirection w:val="lrTb"/>
            <w:vAlign w:val="center"/>
          </w:tcPr>
          <w:p>
            <w:pPr>
              <w:spacing w:line="360" w:lineRule="auto"/>
              <w:jc w:val="center"/>
              <w:rPr>
                <w:rFonts w:hint="eastAsia" w:asciiTheme="majorEastAsia" w:hAnsiTheme="majorEastAsia" w:eastAsiaTheme="majorEastAsia" w:cstheme="majorEastAsia"/>
                <w:b w:val="0"/>
                <w:bCs/>
                <w:sz w:val="24"/>
                <w:szCs w:val="24"/>
                <w:lang w:val="en-US" w:eastAsia="zh-CN"/>
              </w:rPr>
            </w:pPr>
            <w:r>
              <w:rPr>
                <w:rFonts w:hint="eastAsia" w:ascii="宋体" w:hAnsi="宋体" w:eastAsia="宋体" w:cs="宋体"/>
                <w:color w:val="auto"/>
                <w:kern w:val="2"/>
                <w:sz w:val="24"/>
                <w:szCs w:val="24"/>
              </w:rPr>
              <w:t>报价得分（30分）</w:t>
            </w:r>
          </w:p>
        </w:tc>
        <w:tc>
          <w:tcPr>
            <w:tcW w:w="6036" w:type="dxa"/>
            <w:tcBorders>
              <w:top w:val="single" w:color="auto" w:sz="4" w:space="0"/>
              <w:left w:val="single" w:color="auto" w:sz="4" w:space="0"/>
              <w:bottom w:val="single" w:color="auto" w:sz="4" w:space="0"/>
              <w:right w:val="single" w:color="auto" w:sz="4" w:space="0"/>
            </w:tcBorders>
            <w:textDirection w:val="lrTb"/>
            <w:vAlign w:val="top"/>
          </w:tcPr>
          <w:p>
            <w:pPr>
              <w:spacing w:line="288" w:lineRule="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价格评审为客观计算得分。以报价总价作为评审的依据，供应商价格得分评分方法如下：</w:t>
            </w:r>
          </w:p>
          <w:p>
            <w:pPr>
              <w:spacing w:line="288" w:lineRule="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价格分按照低价优先法计算，即满足招标文件要求且投标价格最低的投标报价为评标基准价，其价格分为满分。其他投标人的价格分统一按照下列公式计算：</w:t>
            </w:r>
          </w:p>
          <w:p>
            <w:pPr>
              <w:spacing w:line="288" w:lineRule="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投标报价得分=(评标基准价／投标报价)×100×权重；</w:t>
            </w:r>
          </w:p>
          <w:p>
            <w:pPr>
              <w:spacing w:line="288" w:lineRule="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color w:val="auto"/>
                <w:kern w:val="2"/>
                <w:sz w:val="24"/>
                <w:szCs w:val="24"/>
                <w:lang w:val="en-US" w:eastAsia="zh-CN" w:bidi="ar-SA"/>
              </w:rPr>
              <w:t>投标报价得分四舍五入后，小数点后保留两位有效数。</w:t>
            </w:r>
          </w:p>
        </w:tc>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ajorEastAsia" w:hAnsiTheme="majorEastAsia" w:eastAsiaTheme="majorEastAsia" w:cstheme="majorEastAsia"/>
                <w:b/>
                <w:sz w:val="24"/>
                <w:szCs w:val="24"/>
              </w:rPr>
            </w:pPr>
          </w:p>
        </w:tc>
      </w:tr>
    </w:tbl>
    <w:p>
      <w:pPr>
        <w:pStyle w:val="3"/>
        <w:spacing w:line="360" w:lineRule="auto"/>
        <w:ind w:left="0"/>
        <w:jc w:val="left"/>
        <w:rPr>
          <w:rFonts w:hint="eastAsia" w:ascii="宋体" w:hAnsi="宋体" w:cs="宋体"/>
          <w:b/>
          <w:lang w:val="en-US" w:eastAsia="zh-CN"/>
        </w:rPr>
      </w:pPr>
    </w:p>
    <w:p>
      <w:pPr>
        <w:pStyle w:val="3"/>
        <w:spacing w:line="360" w:lineRule="auto"/>
        <w:ind w:left="0"/>
        <w:jc w:val="left"/>
        <w:rPr>
          <w:rFonts w:hint="eastAsia" w:hAnsi="宋体" w:cs="Times New Roman"/>
        </w:rPr>
      </w:pPr>
      <w:r>
        <w:rPr>
          <w:rFonts w:hint="eastAsia" w:ascii="宋体" w:hAnsi="宋体" w:cs="宋体"/>
          <w:b/>
          <w:lang w:val="en-US" w:eastAsia="zh-CN"/>
        </w:rPr>
        <w:t>3</w:t>
      </w:r>
      <w:r>
        <w:rPr>
          <w:rFonts w:hint="eastAsia" w:ascii="宋体" w:hAnsi="宋体" w:cs="宋体"/>
          <w:b/>
        </w:rPr>
        <w:t>.</w:t>
      </w:r>
      <w:r>
        <w:rPr>
          <w:rFonts w:hint="eastAsia" w:ascii="宋体" w:hAnsi="宋体" w:cs="宋体"/>
          <w:b/>
          <w:lang w:val="en-US" w:eastAsia="zh-CN"/>
        </w:rPr>
        <w:t>计算总分</w:t>
      </w:r>
    </w:p>
    <w:p>
      <w:pPr>
        <w:widowControl/>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每个供应商的综合总得分由以下三部分组成(每部分得分计算以四舍五入的方式精确到小数点后两位)</w:t>
      </w:r>
      <w:r>
        <w:rPr>
          <w:rFonts w:hint="eastAsia" w:ascii="宋体" w:hAnsi="宋体"/>
          <w:color w:val="000000"/>
          <w:kern w:val="0"/>
          <w:sz w:val="24"/>
          <w:szCs w:val="24"/>
          <w:lang w:eastAsia="zh-CN"/>
        </w:rPr>
        <w:t>：</w:t>
      </w:r>
    </w:p>
    <w:p>
      <w:pPr>
        <w:widowControl/>
        <w:spacing w:line="360" w:lineRule="auto"/>
        <w:ind w:firstLine="210" w:firstLineChars="100"/>
        <w:rPr>
          <w:rFonts w:hint="eastAsia" w:ascii="宋体" w:hAnsi="宋体"/>
          <w:color w:val="000000"/>
          <w:kern w:val="0"/>
          <w:sz w:val="24"/>
          <w:szCs w:val="24"/>
        </w:rPr>
      </w:pPr>
      <w:r>
        <w:rPr>
          <w:rFonts w:hint="eastAsia" w:ascii="宋体" w:hAnsi="宋体"/>
          <w:color w:val="000000"/>
          <w:kern w:val="0"/>
          <w:sz w:val="24"/>
          <w:szCs w:val="24"/>
        </w:rPr>
        <w:t>（1）商务得分：</w:t>
      </w:r>
      <w:r>
        <w:rPr>
          <w:rFonts w:hint="eastAsia" w:ascii="宋体" w:hAnsi="宋体"/>
          <w:kern w:val="0"/>
          <w:sz w:val="24"/>
          <w:szCs w:val="24"/>
        </w:rPr>
        <w:t>全体评委的商务评分（</w:t>
      </w:r>
      <w:r>
        <w:rPr>
          <w:rFonts w:hint="eastAsia" w:ascii="宋体" w:hAnsi="宋体"/>
          <w:kern w:val="0"/>
          <w:sz w:val="24"/>
          <w:szCs w:val="24"/>
          <w:lang w:eastAsia="zh-CN"/>
        </w:rPr>
        <w:t>去掉最高和最低分</w:t>
      </w:r>
      <w:r>
        <w:rPr>
          <w:rFonts w:hint="eastAsia" w:ascii="宋体" w:hAnsi="宋体"/>
          <w:kern w:val="0"/>
          <w:sz w:val="24"/>
          <w:szCs w:val="24"/>
        </w:rPr>
        <w:t>）总和，取其算术平均值为最终商务得分；</w:t>
      </w:r>
    </w:p>
    <w:p>
      <w:pPr>
        <w:widowControl/>
        <w:spacing w:line="360" w:lineRule="auto"/>
        <w:ind w:firstLine="210" w:firstLineChars="100"/>
        <w:jc w:val="left"/>
        <w:rPr>
          <w:rFonts w:hint="eastAsia" w:ascii="宋体" w:hAnsi="宋体"/>
          <w:color w:val="000000"/>
          <w:kern w:val="0"/>
          <w:sz w:val="24"/>
          <w:szCs w:val="24"/>
        </w:rPr>
      </w:pPr>
      <w:r>
        <w:rPr>
          <w:rFonts w:hint="eastAsia" w:ascii="宋体" w:hAnsi="宋体"/>
          <w:color w:val="000000"/>
          <w:kern w:val="0"/>
          <w:sz w:val="24"/>
          <w:szCs w:val="24"/>
        </w:rPr>
        <w:t>（2）技术得分：全体评委的技术评分</w:t>
      </w:r>
      <w:r>
        <w:rPr>
          <w:rFonts w:hint="eastAsia" w:ascii="宋体" w:hAnsi="宋体"/>
          <w:kern w:val="0"/>
          <w:sz w:val="24"/>
          <w:szCs w:val="24"/>
        </w:rPr>
        <w:t>（</w:t>
      </w:r>
      <w:r>
        <w:rPr>
          <w:rFonts w:hint="eastAsia" w:ascii="宋体" w:hAnsi="宋体"/>
          <w:kern w:val="0"/>
          <w:sz w:val="24"/>
          <w:szCs w:val="24"/>
          <w:lang w:eastAsia="zh-CN"/>
        </w:rPr>
        <w:t>去掉最高和最低分</w:t>
      </w:r>
      <w:r>
        <w:rPr>
          <w:rFonts w:hint="eastAsia" w:ascii="宋体" w:hAnsi="宋体"/>
          <w:kern w:val="0"/>
          <w:sz w:val="24"/>
          <w:szCs w:val="24"/>
        </w:rPr>
        <w:t>）</w:t>
      </w:r>
      <w:r>
        <w:rPr>
          <w:rFonts w:hint="eastAsia" w:ascii="宋体" w:hAnsi="宋体"/>
          <w:color w:val="000000"/>
          <w:kern w:val="0"/>
          <w:sz w:val="24"/>
          <w:szCs w:val="24"/>
        </w:rPr>
        <w:t>总和，取其算术平均值为最终技术得分；</w:t>
      </w:r>
    </w:p>
    <w:p>
      <w:pPr>
        <w:widowControl/>
        <w:spacing w:line="360" w:lineRule="auto"/>
        <w:ind w:firstLine="210" w:firstLineChars="100"/>
        <w:jc w:val="left"/>
        <w:rPr>
          <w:rFonts w:hint="eastAsia" w:ascii="宋体" w:hAnsi="宋体"/>
          <w:color w:val="000000"/>
          <w:kern w:val="0"/>
          <w:sz w:val="24"/>
          <w:szCs w:val="24"/>
        </w:rPr>
      </w:pPr>
      <w:r>
        <w:rPr>
          <w:rFonts w:hint="eastAsia" w:ascii="宋体" w:hAnsi="宋体"/>
          <w:color w:val="000000"/>
          <w:kern w:val="0"/>
          <w:sz w:val="24"/>
          <w:szCs w:val="24"/>
        </w:rPr>
        <w:t>（3）价格得分：价格评审的客观计算得分为最终价格得分；</w:t>
      </w:r>
    </w:p>
    <w:p>
      <w:pPr>
        <w:widowControl/>
        <w:spacing w:line="360" w:lineRule="auto"/>
        <w:ind w:firstLine="210" w:firstLineChars="100"/>
        <w:jc w:val="left"/>
        <w:rPr>
          <w:rFonts w:hint="eastAsia" w:ascii="宋体" w:hAnsi="宋体"/>
          <w:color w:val="000000"/>
          <w:kern w:val="0"/>
          <w:sz w:val="24"/>
          <w:szCs w:val="24"/>
          <w:lang w:eastAsia="zh-CN"/>
        </w:rPr>
      </w:pPr>
      <w:r>
        <w:rPr>
          <w:rFonts w:hint="eastAsia" w:ascii="宋体" w:hAnsi="宋体"/>
          <w:color w:val="000000"/>
          <w:kern w:val="0"/>
          <w:sz w:val="24"/>
          <w:szCs w:val="24"/>
        </w:rPr>
        <w:t>（4）综合总得分＝商务得分+技术得分＋价格得分</w:t>
      </w:r>
      <w:r>
        <w:rPr>
          <w:rFonts w:hint="eastAsia" w:ascii="宋体" w:hAnsi="宋体"/>
          <w:color w:val="000000"/>
          <w:kern w:val="0"/>
          <w:sz w:val="24"/>
          <w:szCs w:val="24"/>
          <w:lang w:eastAsia="zh-CN"/>
        </w:rPr>
        <w:t>；</w:t>
      </w:r>
    </w:p>
    <w:p>
      <w:pPr>
        <w:widowControl/>
        <w:spacing w:line="360" w:lineRule="auto"/>
        <w:ind w:firstLine="210" w:firstLineChars="100"/>
        <w:jc w:val="left"/>
        <w:rPr>
          <w:rFonts w:hint="eastAsia" w:ascii="宋体" w:hAnsi="宋体"/>
          <w:color w:val="000000"/>
          <w:kern w:val="0"/>
          <w:sz w:val="24"/>
          <w:szCs w:val="24"/>
          <w:lang w:eastAsia="zh-CN"/>
        </w:rPr>
      </w:pPr>
    </w:p>
    <w:p>
      <w:pPr>
        <w:pStyle w:val="3"/>
        <w:spacing w:line="360" w:lineRule="auto"/>
        <w:ind w:left="0"/>
        <w:jc w:val="left"/>
        <w:rPr>
          <w:rFonts w:hint="eastAsia" w:hAnsi="宋体" w:cs="Times New Roman"/>
        </w:rPr>
      </w:pPr>
      <w:r>
        <w:rPr>
          <w:rFonts w:hint="eastAsia" w:ascii="宋体" w:hAnsi="宋体" w:cs="宋体"/>
          <w:b/>
          <w:lang w:val="en-US" w:eastAsia="zh-CN"/>
        </w:rPr>
        <w:t>4.确定中标供应商</w:t>
      </w:r>
    </w:p>
    <w:p>
      <w:pPr>
        <w:widowControl/>
        <w:spacing w:line="360" w:lineRule="auto"/>
        <w:ind w:firstLine="480" w:firstLineChars="200"/>
        <w:rPr>
          <w:rFonts w:hint="eastAsia" w:ascii="宋体" w:hAnsi="宋体"/>
          <w:color w:val="000000"/>
          <w:kern w:val="0"/>
          <w:sz w:val="24"/>
          <w:szCs w:val="24"/>
        </w:rPr>
      </w:pPr>
      <w:r>
        <w:rPr>
          <w:rFonts w:hint="eastAsia" w:ascii="宋体" w:hAnsi="宋体"/>
          <w:color w:val="000000"/>
          <w:kern w:val="0"/>
          <w:sz w:val="24"/>
          <w:szCs w:val="24"/>
        </w:rPr>
        <w:t>按总得分由高至低排出成交候选人的名次顺</w:t>
      </w:r>
      <w:r>
        <w:rPr>
          <w:rFonts w:hint="eastAsia" w:ascii="宋体" w:hAnsi="宋体"/>
          <w:color w:val="auto"/>
          <w:kern w:val="0"/>
          <w:sz w:val="24"/>
          <w:szCs w:val="24"/>
        </w:rPr>
        <w:t>序（综合评分相等时，以技术得分高的优先来确定成交候选人顺序），各评委对计分表校核无误后全体</w:t>
      </w:r>
      <w:r>
        <w:rPr>
          <w:rFonts w:hint="eastAsia" w:ascii="宋体" w:hAnsi="宋体"/>
          <w:color w:val="000000"/>
          <w:kern w:val="0"/>
          <w:sz w:val="24"/>
          <w:szCs w:val="24"/>
        </w:rPr>
        <w:t>评委在综合总得分计算表上签名确认。</w:t>
      </w:r>
    </w:p>
    <w:p>
      <w:pPr>
        <w:widowControl/>
        <w:spacing w:line="360" w:lineRule="auto"/>
        <w:ind w:firstLine="420"/>
        <w:rPr>
          <w:rFonts w:hint="eastAsia" w:ascii="宋体" w:hAnsi="宋体"/>
          <w:color w:val="000000"/>
          <w:kern w:val="0"/>
          <w:sz w:val="24"/>
          <w:szCs w:val="24"/>
        </w:rPr>
      </w:pPr>
      <w:r>
        <w:rPr>
          <w:rFonts w:hint="eastAsia" w:ascii="宋体" w:hAnsi="宋体"/>
          <w:color w:val="000000"/>
          <w:kern w:val="0"/>
          <w:sz w:val="24"/>
          <w:szCs w:val="24"/>
        </w:rPr>
        <w:t>根据评标</w:t>
      </w:r>
      <w:r>
        <w:rPr>
          <w:rFonts w:hint="eastAsia" w:ascii="宋体" w:hAnsi="宋体"/>
          <w:color w:val="000000"/>
          <w:kern w:val="0"/>
          <w:sz w:val="24"/>
          <w:szCs w:val="24"/>
          <w:lang w:eastAsia="zh-CN"/>
        </w:rPr>
        <w:t>小组</w:t>
      </w:r>
      <w:r>
        <w:rPr>
          <w:rFonts w:hint="eastAsia" w:ascii="宋体" w:hAnsi="宋体"/>
          <w:color w:val="000000"/>
          <w:kern w:val="0"/>
          <w:sz w:val="24"/>
          <w:szCs w:val="24"/>
        </w:rPr>
        <w:t>的评标结果，采购人依法确定中标供应商，</w:t>
      </w:r>
      <w:r>
        <w:rPr>
          <w:rFonts w:hint="eastAsia" w:ascii="宋体" w:hAnsi="宋体"/>
          <w:color w:val="000000"/>
          <w:kern w:val="0"/>
          <w:sz w:val="24"/>
          <w:szCs w:val="24"/>
          <w:lang w:eastAsia="zh-CN"/>
        </w:rPr>
        <w:t>并将中标结果在鹤山市人民检察院门户网站公布。</w:t>
      </w:r>
    </w:p>
    <w:sectPr>
      <w:headerReference r:id="rId3" w:type="default"/>
      <w:footerReference r:id="rId4" w:type="default"/>
      <w:pgSz w:w="11906" w:h="16838"/>
      <w:pgMar w:top="1440" w:right="1440" w:bottom="1440" w:left="144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等线">
    <w:altName w:val="宋体"/>
    <w:panose1 w:val="00000000000000000000"/>
    <w:charset w:val="86"/>
    <w:family w:val="auto"/>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auto"/>
    <w:pitch w:val="default"/>
    <w:sig w:usb0="00000000" w:usb1="00000000" w:usb2="0000003F" w:usb3="00000000" w:csb0="003F01FF" w:csb1="00000000"/>
  </w:font>
  <w:font w:name="Lucida Sans Unicode">
    <w:panose1 w:val="020B0602030504020204"/>
    <w:charset w:val="00"/>
    <w:family w:val="auto"/>
    <w:pitch w:val="default"/>
    <w:sig w:usb0="80001AFF" w:usb1="0000396B" w:usb2="00000000" w:usb3="00000000" w:csb0="200000BF" w:csb1="D7F70000"/>
  </w:font>
  <w:font w:name="Malgun Gothic Semilight">
    <w:altName w:val="宋体"/>
    <w:panose1 w:val="020B0502040204020203"/>
    <w:charset w:val="86"/>
    <w:family w:val="auto"/>
    <w:pitch w:val="default"/>
    <w:sig w:usb0="00000000" w:usb1="00000000"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eastAsiaTheme="minorEastAsia"/>
        <w:sz w:val="21"/>
        <w:szCs w:val="32"/>
        <w:lang w:val="en-US" w:eastAsia="zh-CN"/>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5</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5</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A7DDC3"/>
    <w:multiLevelType w:val="singleLevel"/>
    <w:tmpl w:val="62A7DDC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43966"/>
    <w:rsid w:val="01E35D3A"/>
    <w:rsid w:val="218031B0"/>
    <w:rsid w:val="2FA43966"/>
    <w:rsid w:val="3CD42473"/>
    <w:rsid w:val="68080E58"/>
    <w:rsid w:val="6AF76BA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lang w:val="zh-CN" w:eastAsia="zh-CN"/>
    </w:rPr>
  </w:style>
  <w:style w:type="paragraph" w:styleId="3">
    <w:name w:val="heading 2"/>
    <w:basedOn w:val="1"/>
    <w:next w:val="4"/>
    <w:unhideWhenUsed/>
    <w:qFormat/>
    <w:uiPriority w:val="0"/>
    <w:pPr>
      <w:keepNext/>
      <w:ind w:left="990"/>
      <w:outlineLvl w:val="1"/>
    </w:pPr>
    <w:rPr>
      <w:kern w:val="0"/>
      <w:sz w:val="28"/>
      <w:szCs w:val="20"/>
      <w:lang w:val="zh-CN" w:eastAsia="zh-CN"/>
    </w:rPr>
  </w:style>
  <w:style w:type="character" w:default="1" w:styleId="10">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6"/>
    <w:qFormat/>
    <w:uiPriority w:val="0"/>
    <w:pPr>
      <w:spacing w:line="360" w:lineRule="auto"/>
    </w:pPr>
    <w:rPr>
      <w:szCs w:val="20"/>
    </w:rPr>
  </w:style>
  <w:style w:type="paragraph" w:styleId="6">
    <w:name w:val="toc 5"/>
    <w:basedOn w:val="1"/>
    <w:next w:val="1"/>
    <w:qFormat/>
    <w:uiPriority w:val="0"/>
    <w:pPr>
      <w:ind w:left="1680" w:leftChars="800"/>
    </w:pPr>
    <w:rPr>
      <w:rFonts w:ascii="Calibri" w:hAnsi="Calibri" w:eastAsia="宋体" w:cs="Times New Roman"/>
      <w:szCs w:val="22"/>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p0"/>
    <w:basedOn w:val="1"/>
    <w:qFormat/>
    <w:uiPriority w:val="0"/>
    <w:pPr>
      <w:widowControl/>
    </w:pPr>
    <w:rPr>
      <w:kern w:val="0"/>
      <w:szCs w:val="21"/>
    </w:rPr>
  </w:style>
  <w:style w:type="paragraph" w:customStyle="1" w:styleId="13">
    <w:name w:val="p15"/>
    <w:basedOn w:val="1"/>
    <w:qFormat/>
    <w:uiPriority w:val="0"/>
    <w:pPr>
      <w:widowControl/>
      <w:jc w:val="left"/>
    </w:pPr>
    <w:rPr>
      <w:kern w:val="0"/>
      <w:sz w:val="24"/>
    </w:rPr>
  </w:style>
  <w:style w:type="paragraph" w:customStyle="1" w:styleId="14">
    <w:name w:val="Table Paragraph"/>
    <w:basedOn w:val="1"/>
    <w:qFormat/>
    <w:uiPriority w:val="1"/>
    <w:pPr>
      <w:adjustRightInd/>
    </w:pPr>
    <w:rPr>
      <w:rFonts w:ascii="Calibri" w:hAnsi="Calibri"/>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2021-01-26T07:59:00Z</dcterms:created>
  <dc:creator>Administrator</dc:creator>
  <cp:lastModifiedBy>Administrator</cp:lastModifiedBy>
  <cp:lastPrinted>2021-02-08T03:29:00Z</cp:lastPrinted>
  <dcterms:modified xsi:type="dcterms:W3CDTF">2022-06-16T01:33:55Z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