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jc w:val="center"/>
        <w:rPr>
          <w:rFonts w:hint="eastAsia" w:ascii="楷体" w:hAnsi="楷体" w:eastAsia="楷体"/>
          <w:b/>
          <w:color w:val="000000"/>
          <w:sz w:val="52"/>
          <w:szCs w:val="52"/>
        </w:rPr>
      </w:pPr>
      <w:r>
        <w:rPr>
          <w:rFonts w:hint="eastAsia" w:ascii="楷体" w:hAnsi="楷体" w:eastAsia="楷体"/>
          <w:b/>
          <w:color w:val="000000"/>
          <w:sz w:val="52"/>
          <w:szCs w:val="52"/>
        </w:rPr>
        <w:t>鹤山市人民</w:t>
      </w:r>
      <w:r>
        <w:rPr>
          <w:rFonts w:hint="eastAsia" w:ascii="楷体" w:hAnsi="楷体" w:eastAsia="楷体"/>
          <w:b/>
          <w:color w:val="000000"/>
          <w:sz w:val="52"/>
          <w:szCs w:val="52"/>
          <w:lang w:val="en-US" w:eastAsia="zh-CN"/>
        </w:rPr>
        <w:t>检察院</w:t>
      </w:r>
    </w:p>
    <w:p>
      <w:pPr>
        <w:adjustRightInd w:val="0"/>
        <w:spacing w:line="240" w:lineRule="atLeast"/>
        <w:jc w:val="center"/>
        <w:rPr>
          <w:rFonts w:hint="eastAsia" w:ascii="楷体" w:hAnsi="楷体" w:eastAsia="楷体"/>
          <w:b/>
          <w:color w:val="000000"/>
          <w:sz w:val="52"/>
          <w:szCs w:val="52"/>
        </w:rPr>
      </w:pPr>
      <w:r>
        <w:rPr>
          <w:rFonts w:hint="eastAsia" w:ascii="楷体" w:hAnsi="楷体" w:eastAsia="楷体"/>
          <w:b/>
          <w:color w:val="000000"/>
          <w:sz w:val="52"/>
          <w:szCs w:val="52"/>
          <w:lang w:val="en-US" w:eastAsia="zh-CN"/>
        </w:rPr>
        <w:t>2023年</w:t>
      </w:r>
      <w:r>
        <w:rPr>
          <w:rFonts w:hint="eastAsia" w:ascii="楷体" w:hAnsi="楷体" w:eastAsia="楷体"/>
          <w:b/>
          <w:color w:val="000000"/>
          <w:sz w:val="52"/>
          <w:szCs w:val="52"/>
        </w:rPr>
        <w:t>园林绿化</w:t>
      </w:r>
      <w:r>
        <w:rPr>
          <w:rFonts w:hint="eastAsia" w:ascii="楷体" w:hAnsi="楷体" w:eastAsia="楷体"/>
          <w:b/>
          <w:color w:val="000000"/>
          <w:sz w:val="52"/>
          <w:szCs w:val="52"/>
          <w:lang w:val="en-US" w:eastAsia="zh-CN"/>
        </w:rPr>
        <w:t>管理服务</w:t>
      </w:r>
      <w:r>
        <w:rPr>
          <w:rFonts w:hint="eastAsia" w:ascii="楷体" w:hAnsi="楷体" w:eastAsia="楷体"/>
          <w:b/>
          <w:color w:val="000000"/>
          <w:sz w:val="52"/>
          <w:szCs w:val="52"/>
        </w:rPr>
        <w:t>项目</w:t>
      </w:r>
    </w:p>
    <w:p>
      <w:pPr>
        <w:adjustRightInd w:val="0"/>
        <w:spacing w:line="240" w:lineRule="atLeast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adjustRightInd w:val="0"/>
        <w:spacing w:line="240" w:lineRule="atLeast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adjustRightInd w:val="0"/>
        <w:snapToGrid w:val="0"/>
        <w:spacing w:line="1400" w:lineRule="atLeast"/>
        <w:jc w:val="center"/>
        <w:rPr>
          <w:rFonts w:hint="eastAsia"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采</w:t>
      </w:r>
    </w:p>
    <w:p>
      <w:pPr>
        <w:adjustRightInd w:val="0"/>
        <w:snapToGrid w:val="0"/>
        <w:spacing w:line="1400" w:lineRule="atLeast"/>
        <w:jc w:val="center"/>
        <w:rPr>
          <w:rFonts w:hint="eastAsia"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购</w:t>
      </w:r>
    </w:p>
    <w:p>
      <w:pPr>
        <w:adjustRightInd w:val="0"/>
        <w:snapToGrid w:val="0"/>
        <w:spacing w:line="1400" w:lineRule="atLeast"/>
        <w:jc w:val="center"/>
        <w:rPr>
          <w:rFonts w:hint="eastAsia"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文</w:t>
      </w:r>
    </w:p>
    <w:p>
      <w:pPr>
        <w:adjustRightInd w:val="0"/>
        <w:snapToGrid w:val="0"/>
        <w:spacing w:line="1400" w:lineRule="atLeast"/>
        <w:jc w:val="center"/>
        <w:rPr>
          <w:rFonts w:hint="eastAsia"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件</w:t>
      </w:r>
    </w:p>
    <w:p>
      <w:pPr>
        <w:spacing w:line="500" w:lineRule="exact"/>
        <w:ind w:firstLine="2409" w:firstLineChars="1000"/>
        <w:jc w:val="left"/>
        <w:rPr>
          <w:rFonts w:hint="eastAsia"/>
          <w:b/>
          <w:bCs/>
          <w:color w:val="000000"/>
          <w:sz w:val="24"/>
        </w:rPr>
      </w:pPr>
    </w:p>
    <w:p>
      <w:pPr>
        <w:spacing w:line="500" w:lineRule="exact"/>
        <w:ind w:firstLine="2409" w:firstLineChars="1000"/>
        <w:jc w:val="left"/>
        <w:rPr>
          <w:rFonts w:hint="eastAsia"/>
          <w:b/>
          <w:bCs/>
          <w:color w:val="000000"/>
          <w:sz w:val="24"/>
        </w:rPr>
      </w:pPr>
    </w:p>
    <w:p>
      <w:pPr>
        <w:spacing w:line="500" w:lineRule="exact"/>
        <w:ind w:firstLine="2409" w:firstLineChars="1000"/>
        <w:jc w:val="left"/>
        <w:rPr>
          <w:rFonts w:hint="eastAsia"/>
          <w:b/>
          <w:bCs/>
          <w:color w:val="000000"/>
          <w:sz w:val="24"/>
        </w:rPr>
      </w:pPr>
    </w:p>
    <w:p>
      <w:pPr>
        <w:spacing w:line="660" w:lineRule="atLeast"/>
        <w:ind w:firstLine="142" w:firstLineChars="47"/>
        <w:jc w:val="left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采购</w:t>
      </w:r>
      <w:r>
        <w:rPr>
          <w:rFonts w:ascii="宋体" w:hAnsi="宋体"/>
          <w:b/>
          <w:bCs/>
          <w:color w:val="000000"/>
          <w:sz w:val="28"/>
          <w:szCs w:val="28"/>
        </w:rPr>
        <w:t>项目名称：</w:t>
      </w: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鹤山市人民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检察院2023年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园林绿化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管理服务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项目</w:t>
      </w:r>
    </w:p>
    <w:p>
      <w:pPr>
        <w:spacing w:line="360" w:lineRule="auto"/>
        <w:jc w:val="center"/>
        <w:rPr>
          <w:rFonts w:hint="eastAsia"/>
          <w:b/>
          <w:color w:val="000000"/>
          <w:sz w:val="28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28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28"/>
        </w:rPr>
      </w:pPr>
    </w:p>
    <w:p>
      <w:pPr>
        <w:spacing w:line="360" w:lineRule="auto"/>
        <w:jc w:val="center"/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鹤山市人民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  <w:lang w:val="en-US" w:eastAsia="zh-CN"/>
        </w:rPr>
        <w:t>检察院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编制</w:t>
      </w:r>
    </w:p>
    <w:p>
      <w:pPr>
        <w:spacing w:line="360" w:lineRule="auto"/>
        <w:jc w:val="center"/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发布日期：202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年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月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  <w:lang w:eastAsia="zh-CN"/>
        </w:rPr>
        <w:t>服务</w:t>
      </w:r>
      <w:r>
        <w:rPr>
          <w:rFonts w:hint="eastAsia" w:ascii="宋体" w:hAnsi="宋体"/>
          <w:sz w:val="28"/>
          <w:szCs w:val="28"/>
        </w:rPr>
        <w:t xml:space="preserve">范围 </w:t>
      </w:r>
    </w:p>
    <w:p>
      <w:pPr>
        <w:spacing w:line="360" w:lineRule="auto"/>
        <w:ind w:left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在</w:t>
      </w:r>
      <w:r>
        <w:rPr>
          <w:rFonts w:hint="eastAsia" w:ascii="宋体" w:hAnsi="宋体"/>
          <w:color w:val="auto"/>
          <w:sz w:val="28"/>
          <w:szCs w:val="28"/>
        </w:rPr>
        <w:t>指定的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区域</w:t>
      </w:r>
      <w:r>
        <w:rPr>
          <w:rFonts w:hint="eastAsia" w:ascii="宋体" w:hAnsi="宋体"/>
          <w:color w:val="auto"/>
          <w:sz w:val="28"/>
          <w:szCs w:val="28"/>
        </w:rPr>
        <w:t>内摆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设</w:t>
      </w:r>
      <w:r>
        <w:rPr>
          <w:rFonts w:hint="eastAsia" w:ascii="宋体" w:hAnsi="宋体"/>
          <w:color w:val="auto"/>
          <w:sz w:val="28"/>
          <w:szCs w:val="28"/>
        </w:rPr>
        <w:t>植物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</w:rPr>
        <w:t>（详见附件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）</w:t>
      </w:r>
    </w:p>
    <w:p>
      <w:pPr>
        <w:spacing w:line="360" w:lineRule="auto"/>
        <w:ind w:left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单位</w:t>
      </w:r>
      <w:r>
        <w:rPr>
          <w:rFonts w:hint="eastAsia" w:ascii="宋体" w:hAnsi="宋体"/>
          <w:color w:val="auto"/>
          <w:sz w:val="28"/>
          <w:szCs w:val="28"/>
        </w:rPr>
        <w:t>大院内绿地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养护服务；</w:t>
      </w:r>
      <w:r>
        <w:rPr>
          <w:rFonts w:hint="eastAsia" w:ascii="宋体" w:hAnsi="宋体"/>
          <w:color w:val="auto"/>
          <w:sz w:val="28"/>
          <w:szCs w:val="28"/>
        </w:rPr>
        <w:t>（按照一级绿地管理标准进行绿化养护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详见附件3</w:t>
      </w:r>
      <w:r>
        <w:rPr>
          <w:rFonts w:hint="eastAsia" w:ascii="宋体" w:hAnsi="宋体"/>
          <w:color w:val="auto"/>
          <w:sz w:val="28"/>
          <w:szCs w:val="28"/>
        </w:rPr>
        <w:t>）</w:t>
      </w:r>
    </w:p>
    <w:p>
      <w:pPr>
        <w:spacing w:line="360" w:lineRule="auto"/>
        <w:ind w:left="56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鹤城、雅瑶、龙口及宅梧检</w:t>
      </w:r>
      <w:r>
        <w:rPr>
          <w:rFonts w:hint="eastAsia" w:ascii="宋体" w:hAnsi="宋体"/>
          <w:color w:val="auto"/>
          <w:sz w:val="28"/>
          <w:szCs w:val="28"/>
        </w:rPr>
        <w:t>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室内外绿化养护服务。</w:t>
      </w:r>
    </w:p>
    <w:p>
      <w:pPr>
        <w:spacing w:line="360" w:lineRule="auto"/>
        <w:ind w:left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二、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服务</w:t>
      </w:r>
      <w:r>
        <w:rPr>
          <w:rFonts w:hint="eastAsia" w:ascii="宋体" w:hAnsi="宋体"/>
          <w:color w:val="auto"/>
          <w:sz w:val="28"/>
          <w:szCs w:val="28"/>
        </w:rPr>
        <w:t>要求</w:t>
      </w:r>
    </w:p>
    <w:p>
      <w:pPr>
        <w:spacing w:line="360" w:lineRule="auto"/>
        <w:ind w:left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报价人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需</w:t>
      </w:r>
      <w:r>
        <w:rPr>
          <w:rFonts w:hint="eastAsia" w:ascii="宋体" w:hAnsi="宋体"/>
          <w:color w:val="auto"/>
          <w:sz w:val="28"/>
          <w:szCs w:val="28"/>
        </w:rPr>
        <w:t>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上述服务范围</w:t>
      </w:r>
      <w:r>
        <w:rPr>
          <w:rFonts w:hint="eastAsia" w:ascii="宋体" w:hAnsi="宋体"/>
          <w:color w:val="auto"/>
          <w:sz w:val="28"/>
          <w:szCs w:val="28"/>
        </w:rPr>
        <w:t>内摆放多种阴生植物并布置妥当。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2、摆设期内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报价人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需</w:t>
      </w:r>
      <w:r>
        <w:rPr>
          <w:rFonts w:hint="eastAsia" w:ascii="宋体" w:hAnsi="宋体"/>
          <w:color w:val="auto"/>
          <w:sz w:val="28"/>
          <w:szCs w:val="28"/>
        </w:rPr>
        <w:t>负责对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公共范围内的</w:t>
      </w:r>
      <w:r>
        <w:rPr>
          <w:rFonts w:hint="eastAsia" w:ascii="宋体" w:hAnsi="宋体"/>
          <w:color w:val="auto"/>
          <w:sz w:val="28"/>
          <w:szCs w:val="28"/>
        </w:rPr>
        <w:t>植物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进行</w:t>
      </w:r>
      <w:r>
        <w:rPr>
          <w:rFonts w:hint="eastAsia" w:ascii="宋体" w:hAnsi="宋体"/>
          <w:color w:val="auto"/>
          <w:sz w:val="28"/>
          <w:szCs w:val="28"/>
        </w:rPr>
        <w:t>淋水、施肥、清除枯枝败叶、清洁等管理工作，并负责植物的搬运、更换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和摆放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sz w:val="28"/>
          <w:szCs w:val="28"/>
          <w:lang w:val="en-US" w:eastAsia="zh-CN"/>
        </w:rPr>
        <w:t>预算</w:t>
      </w:r>
      <w:r>
        <w:rPr>
          <w:rFonts w:hint="eastAsia" w:ascii="宋体" w:hAnsi="宋体"/>
          <w:sz w:val="28"/>
          <w:szCs w:val="28"/>
        </w:rPr>
        <w:t>费用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采购预算</w:t>
      </w:r>
      <w:r>
        <w:rPr>
          <w:rFonts w:hint="eastAsia" w:ascii="宋体" w:hAnsi="宋体"/>
          <w:sz w:val="28"/>
          <w:szCs w:val="28"/>
        </w:rPr>
        <w:t>为人民币</w:t>
      </w:r>
      <w:r>
        <w:rPr>
          <w:rFonts w:hint="eastAsia" w:ascii="宋体" w:hAnsi="宋体"/>
          <w:sz w:val="28"/>
          <w:szCs w:val="28"/>
          <w:lang w:val="en-US" w:eastAsia="zh-CN"/>
        </w:rPr>
        <w:t>肆万元整</w:t>
      </w:r>
      <w:r>
        <w:rPr>
          <w:rFonts w:hint="eastAsia" w:ascii="宋体" w:hAnsi="宋体"/>
          <w:sz w:val="28"/>
          <w:szCs w:val="28"/>
          <w:lang w:eastAsia="zh-CN"/>
        </w:rPr>
        <w:t>正</w:t>
      </w:r>
      <w:r>
        <w:rPr>
          <w:rFonts w:hint="eastAsia" w:ascii="宋体" w:hAnsi="宋体"/>
          <w:sz w:val="28"/>
          <w:szCs w:val="28"/>
          <w:u w:val="single"/>
        </w:rPr>
        <w:t>（￥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40000.00</w:t>
      </w:r>
      <w:r>
        <w:rPr>
          <w:rFonts w:hint="eastAsia" w:ascii="宋体" w:hAnsi="宋体"/>
          <w:sz w:val="28"/>
          <w:szCs w:val="28"/>
          <w:u w:val="single"/>
        </w:rPr>
        <w:t>元）</w:t>
      </w:r>
      <w:r>
        <w:rPr>
          <w:rFonts w:hint="eastAsia" w:ascii="宋体" w:hAnsi="宋体"/>
          <w:sz w:val="28"/>
          <w:szCs w:val="28"/>
        </w:rPr>
        <w:t>。（超过采购预算的报价为无效报价，报价应为含税全包价）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</w:t>
      </w:r>
      <w:r>
        <w:rPr>
          <w:rFonts w:hint="eastAsia" w:ascii="宋体" w:hAnsi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sz w:val="28"/>
          <w:szCs w:val="28"/>
        </w:rPr>
        <w:t>期限：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项目服务</w:t>
      </w:r>
      <w:r>
        <w:rPr>
          <w:rFonts w:hint="eastAsia" w:ascii="宋体" w:hAnsi="宋体"/>
          <w:sz w:val="28"/>
          <w:szCs w:val="28"/>
        </w:rPr>
        <w:t>期为一年，时间由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开始</w:t>
      </w:r>
      <w:r>
        <w:rPr>
          <w:rFonts w:hint="eastAsia" w:ascii="宋体" w:hAnsi="宋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Microsoft Sans Serif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91937"/>
    <w:rsid w:val="0E310C18"/>
    <w:rsid w:val="10A91937"/>
    <w:rsid w:val="2F054DC9"/>
    <w:rsid w:val="674E71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2023-07-10T09:27:00Z</dcterms:created>
  <dc:creator>renqiqi</dc:creator>
  <cp:lastModifiedBy>renqiqi</cp:lastModifiedBy>
  <dcterms:modified xsi:type="dcterms:W3CDTF">2023-07-11T07:58:16Z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