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29993">
      <w:pPr>
        <w:adjustRightInd w:val="0"/>
        <w:spacing w:line="240" w:lineRule="atLeast"/>
        <w:jc w:val="center"/>
        <w:rPr>
          <w:rFonts w:ascii="楷体" w:hAnsi="楷体" w:eastAsia="楷体"/>
          <w:b/>
          <w:color w:val="auto"/>
          <w:sz w:val="72"/>
          <w:szCs w:val="72"/>
        </w:rPr>
      </w:pPr>
      <w:r>
        <w:rPr>
          <w:rFonts w:hint="eastAsia" w:ascii="楷体" w:hAnsi="楷体" w:eastAsia="楷体"/>
          <w:b/>
          <w:color w:val="auto"/>
          <w:sz w:val="72"/>
          <w:szCs w:val="72"/>
        </w:rPr>
        <w:t>鹤山市人民检察院</w:t>
      </w:r>
    </w:p>
    <w:p w14:paraId="73462ED6">
      <w:pPr>
        <w:adjustRightInd w:val="0"/>
        <w:spacing w:line="240" w:lineRule="atLeast"/>
        <w:jc w:val="center"/>
        <w:rPr>
          <w:rFonts w:hint="eastAsia" w:ascii="楷体" w:hAnsi="楷体" w:eastAsia="楷体"/>
          <w:b/>
          <w:color w:val="auto"/>
          <w:sz w:val="72"/>
          <w:szCs w:val="72"/>
        </w:rPr>
      </w:pPr>
      <w:r>
        <w:rPr>
          <w:rFonts w:hint="eastAsia" w:ascii="楷体" w:hAnsi="楷体" w:eastAsia="楷体"/>
          <w:b/>
          <w:color w:val="auto"/>
          <w:sz w:val="72"/>
          <w:szCs w:val="72"/>
        </w:rPr>
        <w:t>采购项目</w:t>
      </w:r>
    </w:p>
    <w:p w14:paraId="2B80F7C0">
      <w:pPr>
        <w:adjustRightInd w:val="0"/>
        <w:spacing w:line="240" w:lineRule="atLeast"/>
        <w:jc w:val="center"/>
        <w:rPr>
          <w:rFonts w:hint="eastAsia" w:ascii="黑体" w:hAnsi="黑体" w:eastAsia="黑体"/>
          <w:color w:val="auto"/>
          <w:sz w:val="30"/>
          <w:szCs w:val="30"/>
        </w:rPr>
      </w:pPr>
    </w:p>
    <w:p w14:paraId="338BE9A7">
      <w:pPr>
        <w:adjustRightInd w:val="0"/>
        <w:spacing w:line="240" w:lineRule="atLeast"/>
        <w:jc w:val="center"/>
        <w:rPr>
          <w:rFonts w:hint="eastAsia" w:ascii="黑体" w:hAnsi="黑体" w:eastAsia="黑体"/>
          <w:color w:val="auto"/>
          <w:sz w:val="30"/>
          <w:szCs w:val="30"/>
        </w:rPr>
      </w:pPr>
    </w:p>
    <w:p w14:paraId="0672D45C">
      <w:pPr>
        <w:adjustRightInd w:val="0"/>
        <w:spacing w:line="240" w:lineRule="atLeast"/>
        <w:jc w:val="center"/>
        <w:rPr>
          <w:rFonts w:hint="eastAsia" w:ascii="黑体" w:hAnsi="黑体" w:eastAsia="黑体"/>
          <w:color w:val="auto"/>
          <w:sz w:val="30"/>
          <w:szCs w:val="30"/>
        </w:rPr>
      </w:pPr>
    </w:p>
    <w:p w14:paraId="0B45257A">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询</w:t>
      </w:r>
    </w:p>
    <w:p w14:paraId="37D25935">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价</w:t>
      </w:r>
    </w:p>
    <w:p w14:paraId="7B86D61D">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文</w:t>
      </w:r>
    </w:p>
    <w:p w14:paraId="3AA7DF05">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件</w:t>
      </w:r>
    </w:p>
    <w:p w14:paraId="030347CA">
      <w:pPr>
        <w:spacing w:line="500" w:lineRule="exact"/>
        <w:ind w:firstLine="2401" w:firstLineChars="1000"/>
        <w:jc w:val="left"/>
        <w:rPr>
          <w:rFonts w:hint="eastAsia"/>
          <w:b/>
          <w:bCs/>
          <w:color w:val="auto"/>
          <w:sz w:val="24"/>
        </w:rPr>
      </w:pPr>
    </w:p>
    <w:p w14:paraId="23E2A74E">
      <w:pPr>
        <w:spacing w:line="500" w:lineRule="exact"/>
        <w:jc w:val="left"/>
        <w:rPr>
          <w:rFonts w:hint="eastAsia"/>
          <w:b/>
          <w:bCs/>
          <w:color w:val="auto"/>
          <w:sz w:val="24"/>
        </w:rPr>
      </w:pPr>
    </w:p>
    <w:p w14:paraId="058F4AE7">
      <w:pPr>
        <w:spacing w:line="660" w:lineRule="atLeast"/>
        <w:jc w:val="center"/>
        <w:rPr>
          <w:rFonts w:hint="eastAsia" w:ascii="宋体" w:hAnsi="宋体" w:eastAsiaTheme="minorEastAsia"/>
          <w:b/>
          <w:bCs/>
          <w:color w:val="auto"/>
          <w:spacing w:val="-6"/>
          <w:sz w:val="28"/>
          <w:szCs w:val="28"/>
        </w:rPr>
      </w:pPr>
      <w:r>
        <w:rPr>
          <w:rFonts w:hint="eastAsia" w:ascii="宋体" w:hAnsi="宋体"/>
          <w:b/>
          <w:bCs/>
          <w:color w:val="auto"/>
          <w:sz w:val="28"/>
          <w:szCs w:val="28"/>
        </w:rPr>
        <w:t>采购</w:t>
      </w:r>
      <w:r>
        <w:rPr>
          <w:rFonts w:ascii="宋体" w:hAnsi="宋体"/>
          <w:b/>
          <w:bCs/>
          <w:color w:val="auto"/>
          <w:sz w:val="28"/>
          <w:szCs w:val="28"/>
        </w:rPr>
        <w:t>项目名称：</w:t>
      </w:r>
      <w:r>
        <w:rPr>
          <w:rFonts w:hint="eastAsia" w:ascii="宋体" w:hAnsi="宋体" w:eastAsiaTheme="minorEastAsia"/>
          <w:b/>
          <w:bCs/>
          <w:color w:val="auto"/>
          <w:spacing w:val="0"/>
          <w:sz w:val="28"/>
          <w:szCs w:val="28"/>
        </w:rPr>
        <w:t>鹤山市人民检察院</w:t>
      </w:r>
      <w:r>
        <w:rPr>
          <w:rFonts w:hint="eastAsia" w:ascii="宋体" w:hAnsi="宋体"/>
          <w:b/>
          <w:bCs/>
          <w:color w:val="auto"/>
          <w:spacing w:val="0"/>
          <w:sz w:val="28"/>
          <w:szCs w:val="28"/>
          <w:lang w:val="en-US" w:eastAsia="zh-CN"/>
        </w:rPr>
        <w:t>2026年度零星修缮</w:t>
      </w:r>
      <w:r>
        <w:rPr>
          <w:rFonts w:hint="eastAsia" w:ascii="宋体" w:hAnsi="宋体" w:eastAsiaTheme="minorEastAsia"/>
          <w:b/>
          <w:bCs/>
          <w:color w:val="auto"/>
          <w:spacing w:val="0"/>
          <w:sz w:val="28"/>
          <w:szCs w:val="28"/>
        </w:rPr>
        <w:t>项目</w:t>
      </w:r>
    </w:p>
    <w:p w14:paraId="16291DBE">
      <w:pPr>
        <w:spacing w:line="500" w:lineRule="exact"/>
        <w:jc w:val="both"/>
        <w:rPr>
          <w:rFonts w:hint="eastAsia"/>
          <w:b/>
          <w:bCs/>
          <w:color w:val="auto"/>
          <w:sz w:val="24"/>
        </w:rPr>
      </w:pPr>
    </w:p>
    <w:p w14:paraId="6BEE631B">
      <w:pPr>
        <w:spacing w:line="360" w:lineRule="auto"/>
        <w:jc w:val="center"/>
        <w:rPr>
          <w:rFonts w:hint="eastAsia" w:ascii="楷体_GB2312" w:hAnsi="宋体" w:eastAsia="楷体_GB2312"/>
          <w:b/>
          <w:bCs/>
          <w:color w:val="auto"/>
          <w:sz w:val="28"/>
          <w:szCs w:val="28"/>
        </w:rPr>
      </w:pPr>
      <w:r>
        <w:rPr>
          <w:rFonts w:hint="eastAsia" w:ascii="楷体_GB2312" w:hAnsi="宋体" w:eastAsia="楷体_GB2312"/>
          <w:b/>
          <w:bCs/>
          <w:color w:val="auto"/>
          <w:sz w:val="28"/>
          <w:szCs w:val="28"/>
        </w:rPr>
        <w:t xml:space="preserve"> 鹤山市人民检察院编制</w:t>
      </w:r>
    </w:p>
    <w:p w14:paraId="50C7C272">
      <w:pPr>
        <w:spacing w:line="360" w:lineRule="auto"/>
        <w:jc w:val="center"/>
        <w:rPr>
          <w:rFonts w:hint="eastAsia" w:ascii="楷体_GB2312" w:hAnsi="宋体" w:eastAsia="楷体_GB2312"/>
          <w:b/>
          <w:bCs/>
          <w:color w:val="auto"/>
          <w:sz w:val="28"/>
          <w:szCs w:val="28"/>
        </w:rPr>
      </w:pPr>
      <w:r>
        <w:rPr>
          <w:rFonts w:hint="eastAsia" w:ascii="楷体_GB2312" w:hAnsi="宋体" w:eastAsia="楷体_GB2312"/>
          <w:b/>
          <w:bCs/>
          <w:color w:val="auto"/>
          <w:sz w:val="28"/>
          <w:szCs w:val="28"/>
        </w:rPr>
        <w:t>发布日期：202</w:t>
      </w:r>
      <w:r>
        <w:rPr>
          <w:rFonts w:hint="eastAsia" w:ascii="楷体_GB2312" w:hAnsi="宋体" w:eastAsia="楷体_GB2312"/>
          <w:b/>
          <w:bCs/>
          <w:color w:val="auto"/>
          <w:sz w:val="28"/>
          <w:szCs w:val="28"/>
          <w:lang w:val="en-US" w:eastAsia="zh-CN"/>
        </w:rPr>
        <w:t>6</w:t>
      </w:r>
      <w:r>
        <w:rPr>
          <w:rFonts w:hint="eastAsia" w:ascii="楷体_GB2312" w:hAnsi="宋体" w:eastAsia="楷体_GB2312"/>
          <w:b/>
          <w:bCs/>
          <w:color w:val="auto"/>
          <w:sz w:val="28"/>
          <w:szCs w:val="28"/>
        </w:rPr>
        <w:t>年</w:t>
      </w:r>
      <w:r>
        <w:rPr>
          <w:rFonts w:hint="eastAsia" w:ascii="楷体_GB2312" w:hAnsi="宋体" w:eastAsia="楷体_GB2312"/>
          <w:b/>
          <w:bCs/>
          <w:color w:val="auto"/>
          <w:sz w:val="28"/>
          <w:szCs w:val="28"/>
          <w:lang w:val="en-US" w:eastAsia="zh-CN"/>
        </w:rPr>
        <w:t>4</w:t>
      </w:r>
      <w:r>
        <w:rPr>
          <w:rFonts w:hint="eastAsia" w:ascii="楷体_GB2312" w:hAnsi="宋体" w:eastAsia="楷体_GB2312"/>
          <w:b/>
          <w:bCs/>
          <w:color w:val="auto"/>
          <w:sz w:val="28"/>
          <w:szCs w:val="28"/>
        </w:rPr>
        <w:t>月</w:t>
      </w:r>
      <w:r>
        <w:rPr>
          <w:rFonts w:hint="eastAsia" w:ascii="楷体_GB2312" w:hAnsi="宋体" w:eastAsia="楷体_GB2312"/>
          <w:b/>
          <w:bCs/>
          <w:color w:val="auto"/>
          <w:sz w:val="28"/>
          <w:szCs w:val="28"/>
          <w:lang w:val="en-US" w:eastAsia="zh-CN"/>
        </w:rPr>
        <w:t>27</w:t>
      </w:r>
      <w:r>
        <w:rPr>
          <w:rFonts w:hint="eastAsia" w:ascii="楷体_GB2312" w:hAnsi="宋体" w:eastAsia="楷体_GB2312"/>
          <w:b/>
          <w:bCs/>
          <w:color w:val="auto"/>
          <w:sz w:val="28"/>
          <w:szCs w:val="28"/>
        </w:rPr>
        <w:t>日</w:t>
      </w:r>
    </w:p>
    <w:p w14:paraId="45B4642C">
      <w:pPr>
        <w:widowControl/>
        <w:shd w:val="clear" w:color="auto" w:fill="FFFFFF"/>
        <w:spacing w:line="315" w:lineRule="atLeast"/>
        <w:jc w:val="center"/>
        <w:rPr>
          <w:rFonts w:hint="eastAsia" w:ascii="宋体" w:hAnsi="宋体" w:eastAsia="宋体" w:cs="宋体"/>
          <w:b/>
          <w:bCs/>
          <w:color w:val="auto"/>
          <w:kern w:val="0"/>
          <w:sz w:val="30"/>
          <w:szCs w:val="30"/>
        </w:rPr>
      </w:pPr>
    </w:p>
    <w:p w14:paraId="58302255">
      <w:pPr>
        <w:pStyle w:val="8"/>
        <w:rPr>
          <w:rFonts w:hint="eastAsia"/>
          <w:color w:val="auto"/>
        </w:rPr>
      </w:pPr>
    </w:p>
    <w:p w14:paraId="79CA7362">
      <w:pPr>
        <w:widowControl/>
        <w:shd w:val="clear" w:color="auto" w:fill="FFFFFF"/>
        <w:spacing w:line="315" w:lineRule="atLeast"/>
        <w:jc w:val="center"/>
        <w:rPr>
          <w:rFonts w:hint="eastAsia" w:ascii="方正小标宋_GBK" w:hAnsi="方正小标宋_GBK" w:eastAsia="方正小标宋_GBK" w:cs="方正小标宋_GBK"/>
          <w:b w:val="0"/>
          <w:bCs w:val="0"/>
          <w:color w:val="auto"/>
          <w:kern w:val="0"/>
          <w:sz w:val="40"/>
          <w:szCs w:val="40"/>
          <w:lang w:val="en-US" w:eastAsia="zh-CN"/>
        </w:rPr>
      </w:pPr>
      <w:r>
        <w:rPr>
          <w:rFonts w:hint="eastAsia" w:ascii="方正小标宋_GBK" w:hAnsi="方正小标宋_GBK" w:eastAsia="方正小标宋_GBK" w:cs="方正小标宋_GBK"/>
          <w:b w:val="0"/>
          <w:bCs w:val="0"/>
          <w:color w:val="auto"/>
          <w:kern w:val="0"/>
          <w:sz w:val="40"/>
          <w:szCs w:val="40"/>
        </w:rPr>
        <w:t>鹤山市人民检察院</w:t>
      </w:r>
      <w:r>
        <w:rPr>
          <w:rFonts w:hint="eastAsia" w:ascii="方正小标宋_GBK" w:hAnsi="方正小标宋_GBK" w:eastAsia="方正小标宋_GBK" w:cs="方正小标宋_GBK"/>
          <w:b w:val="0"/>
          <w:bCs w:val="0"/>
          <w:color w:val="auto"/>
          <w:kern w:val="0"/>
          <w:sz w:val="40"/>
          <w:szCs w:val="40"/>
          <w:lang w:val="en-US" w:eastAsia="zh-CN"/>
        </w:rPr>
        <w:t>2026年度零星修缮</w:t>
      </w:r>
    </w:p>
    <w:p w14:paraId="7DD04DD5">
      <w:pPr>
        <w:widowControl/>
        <w:shd w:val="clear" w:color="auto" w:fill="FFFFFF"/>
        <w:spacing w:line="315" w:lineRule="atLeast"/>
        <w:jc w:val="center"/>
        <w:rPr>
          <w:rFonts w:hint="eastAsia" w:ascii="方正小标宋_GBK" w:hAnsi="方正小标宋_GBK" w:eastAsia="方正小标宋_GBK" w:cs="方正小标宋_GBK"/>
          <w:b w:val="0"/>
          <w:bCs w:val="0"/>
          <w:color w:val="auto"/>
          <w:kern w:val="0"/>
          <w:sz w:val="40"/>
          <w:szCs w:val="40"/>
        </w:rPr>
      </w:pPr>
      <w:r>
        <w:rPr>
          <w:rFonts w:hint="eastAsia" w:ascii="方正小标宋_GBK" w:hAnsi="方正小标宋_GBK" w:eastAsia="方正小标宋_GBK" w:cs="方正小标宋_GBK"/>
          <w:b w:val="0"/>
          <w:bCs w:val="0"/>
          <w:color w:val="auto"/>
          <w:kern w:val="0"/>
          <w:sz w:val="40"/>
          <w:szCs w:val="40"/>
          <w:lang w:val="en-US" w:eastAsia="zh-CN"/>
        </w:rPr>
        <w:t>采购</w:t>
      </w:r>
      <w:r>
        <w:rPr>
          <w:rFonts w:hint="eastAsia" w:ascii="方正小标宋_GBK" w:hAnsi="方正小标宋_GBK" w:eastAsia="方正小标宋_GBK" w:cs="方正小标宋_GBK"/>
          <w:b w:val="0"/>
          <w:bCs w:val="0"/>
          <w:color w:val="auto"/>
          <w:kern w:val="0"/>
          <w:sz w:val="40"/>
          <w:szCs w:val="40"/>
        </w:rPr>
        <w:t>项目询价文件</w:t>
      </w:r>
    </w:p>
    <w:p w14:paraId="17F4EE88">
      <w:pPr>
        <w:widowControl/>
        <w:shd w:val="clear" w:color="auto" w:fill="FFFFFF"/>
        <w:spacing w:line="315" w:lineRule="atLeast"/>
        <w:jc w:val="both"/>
        <w:rPr>
          <w:rFonts w:hint="eastAsia" w:ascii="宋体" w:hAnsi="宋体" w:eastAsia="宋体" w:cs="宋体"/>
          <w:color w:val="auto"/>
          <w:kern w:val="0"/>
          <w:szCs w:val="21"/>
        </w:rPr>
      </w:pPr>
    </w:p>
    <w:p w14:paraId="08C32439">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根据</w:t>
      </w:r>
      <w:r>
        <w:rPr>
          <w:rFonts w:hint="eastAsia" w:ascii="Times New Roman" w:hAnsi="Times New Roman" w:eastAsia="方正仿宋_GBK" w:cs="Times New Roman"/>
          <w:color w:val="auto"/>
          <w:kern w:val="0"/>
          <w:sz w:val="32"/>
          <w:szCs w:val="32"/>
          <w:lang w:val="en-US" w:eastAsia="zh-CN"/>
        </w:rPr>
        <w:t>工作需求</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本</w:t>
      </w:r>
      <w:r>
        <w:rPr>
          <w:rFonts w:hint="default" w:ascii="Times New Roman" w:hAnsi="Times New Roman" w:eastAsia="方正仿宋_GBK" w:cs="Times New Roman"/>
          <w:color w:val="auto"/>
          <w:kern w:val="0"/>
          <w:sz w:val="32"/>
          <w:szCs w:val="32"/>
        </w:rPr>
        <w:t>院</w:t>
      </w:r>
      <w:r>
        <w:rPr>
          <w:rFonts w:hint="eastAsia" w:ascii="Times New Roman" w:hAnsi="Times New Roman" w:eastAsia="方正仿宋_GBK" w:cs="Times New Roman"/>
          <w:color w:val="auto"/>
          <w:kern w:val="0"/>
          <w:sz w:val="32"/>
          <w:szCs w:val="32"/>
          <w:lang w:val="en-US" w:eastAsia="zh-CN"/>
        </w:rPr>
        <w:t>拟</w:t>
      </w:r>
      <w:r>
        <w:rPr>
          <w:rFonts w:hint="eastAsia" w:ascii="方正仿宋_GBK" w:hAnsi="方正仿宋_GBK" w:eastAsia="方正仿宋_GBK" w:cs="方正仿宋_GBK"/>
          <w:color w:val="auto"/>
          <w:kern w:val="0"/>
          <w:sz w:val="32"/>
          <w:szCs w:val="32"/>
        </w:rPr>
        <w:t>对</w:t>
      </w:r>
      <w:r>
        <w:rPr>
          <w:rFonts w:hint="eastAsia" w:ascii="方正仿宋_GBK" w:hAnsi="方正仿宋_GBK" w:eastAsia="方正仿宋_GBK" w:cs="方正仿宋_GBK"/>
          <w:color w:val="auto"/>
          <w:kern w:val="0"/>
          <w:sz w:val="32"/>
          <w:szCs w:val="32"/>
          <w:lang w:val="en-US" w:eastAsia="zh-CN"/>
        </w:rPr>
        <w:t>2026年度零星修缮</w:t>
      </w:r>
      <w:r>
        <w:rPr>
          <w:rFonts w:hint="eastAsia" w:ascii="方正仿宋_GBK" w:hAnsi="方正仿宋_GBK" w:eastAsia="方正仿宋_GBK" w:cs="方正仿宋_GBK"/>
          <w:color w:val="auto"/>
          <w:kern w:val="0"/>
          <w:sz w:val="32"/>
          <w:szCs w:val="32"/>
        </w:rPr>
        <w:t>项目实</w:t>
      </w:r>
      <w:r>
        <w:rPr>
          <w:rFonts w:hint="default" w:ascii="Times New Roman" w:hAnsi="Times New Roman" w:eastAsia="方正仿宋_GBK" w:cs="Times New Roman"/>
          <w:color w:val="auto"/>
          <w:kern w:val="0"/>
          <w:sz w:val="32"/>
          <w:szCs w:val="32"/>
        </w:rPr>
        <w:t>施采购。</w:t>
      </w:r>
    </w:p>
    <w:p w14:paraId="215E9BB0">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一、项目名称及编号</w:t>
      </w:r>
    </w:p>
    <w:p w14:paraId="49B9F583">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项目名称：鹤山市人民检察院</w:t>
      </w:r>
      <w:r>
        <w:rPr>
          <w:rFonts w:hint="eastAsia" w:ascii="Times New Roman" w:hAnsi="Times New Roman" w:eastAsia="方正仿宋_GBK" w:cs="Times New Roman"/>
          <w:color w:val="auto"/>
          <w:kern w:val="0"/>
          <w:sz w:val="32"/>
          <w:szCs w:val="32"/>
          <w:lang w:val="en-US" w:eastAsia="zh-CN"/>
        </w:rPr>
        <w:t>2026年度零星修缮</w:t>
      </w:r>
      <w:r>
        <w:rPr>
          <w:rFonts w:hint="default" w:ascii="Times New Roman" w:hAnsi="Times New Roman" w:eastAsia="方正仿宋_GBK" w:cs="Times New Roman"/>
          <w:color w:val="auto"/>
          <w:kern w:val="0"/>
          <w:sz w:val="32"/>
          <w:szCs w:val="32"/>
        </w:rPr>
        <w:t>项目</w:t>
      </w:r>
    </w:p>
    <w:p w14:paraId="600D66EC">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二、投标人资格要求</w:t>
      </w:r>
    </w:p>
    <w:p w14:paraId="2F53E3C6">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kern w:val="0"/>
          <w:sz w:val="32"/>
          <w:szCs w:val="32"/>
          <w:lang w:val="en-US" w:eastAsia="zh-CN"/>
        </w:rPr>
        <w:t>1.响应</w:t>
      </w:r>
      <w:r>
        <w:rPr>
          <w:rFonts w:hint="default" w:ascii="Times New Roman" w:hAnsi="Times New Roman" w:eastAsia="方正仿宋_GBK" w:cs="Times New Roman"/>
          <w:color w:val="auto"/>
          <w:kern w:val="0"/>
          <w:sz w:val="32"/>
          <w:szCs w:val="32"/>
          <w:lang w:eastAsia="zh-CN"/>
        </w:rPr>
        <w:t>人应具备《中华人民共和国政府采购法》第二十二条规定的条件，提供下列材料</w:t>
      </w:r>
      <w:r>
        <w:rPr>
          <w:rFonts w:hint="default" w:ascii="Times New Roman" w:hAnsi="Times New Roman" w:eastAsia="方正仿宋_GBK" w:cs="Times New Roman"/>
          <w:color w:val="auto"/>
          <w:kern w:val="0"/>
          <w:sz w:val="32"/>
          <w:szCs w:val="32"/>
        </w:rPr>
        <w:t>：</w:t>
      </w:r>
    </w:p>
    <w:p w14:paraId="16604BD7">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1</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rPr>
        <w:t>具有独立承担民事责任的能力</w:t>
      </w:r>
      <w:r>
        <w:rPr>
          <w:rFonts w:hint="default" w:ascii="Times New Roman" w:hAnsi="Times New Roman" w:eastAsia="方正仿宋_GBK" w:cs="Times New Roman"/>
          <w:color w:val="auto"/>
          <w:kern w:val="0"/>
          <w:sz w:val="32"/>
          <w:szCs w:val="32"/>
          <w:lang w:val="en-US" w:eastAsia="zh-CN"/>
        </w:rPr>
        <w:t>；</w:t>
      </w:r>
    </w:p>
    <w:p w14:paraId="58357122">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2</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rPr>
        <w:t>有依法缴纳税收和社会保障资金的良好记录</w:t>
      </w:r>
      <w:r>
        <w:rPr>
          <w:rFonts w:hint="default" w:ascii="Times New Roman" w:hAnsi="Times New Roman" w:eastAsia="方正仿宋_GBK" w:cs="Times New Roman"/>
          <w:color w:val="auto"/>
          <w:kern w:val="0"/>
          <w:sz w:val="32"/>
          <w:szCs w:val="32"/>
          <w:lang w:val="en-US" w:eastAsia="zh-CN"/>
        </w:rPr>
        <w:t>；</w:t>
      </w:r>
    </w:p>
    <w:p w14:paraId="6E9EB108">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3</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rPr>
        <w:t>具有良好的商业信誉和健全的财务会计制度</w:t>
      </w:r>
      <w:r>
        <w:rPr>
          <w:rFonts w:hint="default" w:ascii="Times New Roman" w:hAnsi="Times New Roman" w:eastAsia="方正仿宋_GBK" w:cs="Times New Roman"/>
          <w:color w:val="auto"/>
          <w:kern w:val="0"/>
          <w:sz w:val="32"/>
          <w:szCs w:val="32"/>
          <w:lang w:val="en-US" w:eastAsia="zh-CN"/>
        </w:rPr>
        <w:t>；</w:t>
      </w:r>
    </w:p>
    <w:p w14:paraId="002CA93A">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4</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rPr>
        <w:t>履行合同所必需的设备和专业技术能力</w:t>
      </w:r>
      <w:r>
        <w:rPr>
          <w:rFonts w:hint="default" w:ascii="Times New Roman" w:hAnsi="Times New Roman" w:eastAsia="方正仿宋_GBK" w:cs="Times New Roman"/>
          <w:color w:val="auto"/>
          <w:kern w:val="0"/>
          <w:sz w:val="32"/>
          <w:szCs w:val="32"/>
          <w:lang w:val="en-US" w:eastAsia="zh-CN"/>
        </w:rPr>
        <w:t>；</w:t>
      </w:r>
    </w:p>
    <w:p w14:paraId="51D8FBAF">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5</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rPr>
        <w:t>参加采购活动前3年内，在经营活动中没有重大违法记录</w:t>
      </w:r>
      <w:r>
        <w:rPr>
          <w:rFonts w:hint="default" w:ascii="Times New Roman" w:hAnsi="Times New Roman" w:eastAsia="方正仿宋_GBK" w:cs="Times New Roman"/>
          <w:color w:val="auto"/>
          <w:kern w:val="0"/>
          <w:sz w:val="32"/>
          <w:szCs w:val="32"/>
        </w:rPr>
        <w:t>。</w:t>
      </w:r>
    </w:p>
    <w:p w14:paraId="3DA13058">
      <w:pPr>
        <w:keepNext w:val="0"/>
        <w:keepLines w:val="0"/>
        <w:pageBreakBefore w:val="0"/>
        <w:widowControl/>
        <w:shd w:val="clear" w:color="auto" w:fill="FFFFFF"/>
        <w:kinsoku/>
        <w:wordWrap w:val="0"/>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2.响应</w:t>
      </w:r>
      <w:r>
        <w:rPr>
          <w:rFonts w:hint="default" w:ascii="Times New Roman" w:hAnsi="Times New Roman" w:eastAsia="方正仿宋_GBK" w:cs="Times New Roman"/>
          <w:color w:val="auto"/>
          <w:kern w:val="0"/>
          <w:sz w:val="32"/>
          <w:szCs w:val="32"/>
        </w:rPr>
        <w:t>人未被</w:t>
      </w:r>
      <w:r>
        <w:rPr>
          <w:rFonts w:hint="eastAsia" w:ascii="方正仿宋_GBK" w:hAnsi="方正仿宋_GBK" w:eastAsia="方正仿宋_GBK" w:cs="方正仿宋_GBK"/>
          <w:color w:val="auto"/>
          <w:kern w:val="0"/>
          <w:sz w:val="32"/>
          <w:szCs w:val="32"/>
        </w:rPr>
        <w:t>列入“信用中国”网</w:t>
      </w:r>
      <w:r>
        <w:rPr>
          <w:rFonts w:hint="default" w:ascii="Times New Roman" w:hAnsi="Times New Roman" w:eastAsia="方正仿宋_GBK" w:cs="Times New Roman"/>
          <w:color w:val="auto"/>
          <w:kern w:val="0"/>
          <w:sz w:val="32"/>
          <w:szCs w:val="32"/>
        </w:rPr>
        <w:t>站</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www.creditchina.gov.cn</w:t>
      </w:r>
      <w:r>
        <w:rPr>
          <w:rFonts w:hint="eastAsia" w:ascii="Times New Roman" w:hAnsi="Times New Roman" w:eastAsia="方正仿宋_GBK" w:cs="Times New Roman"/>
          <w:color w:val="auto"/>
          <w:kern w:val="0"/>
          <w:sz w:val="32"/>
          <w:szCs w:val="32"/>
          <w:lang w:eastAsia="zh-CN"/>
        </w:rPr>
        <w:t>）</w:t>
      </w:r>
      <w:r>
        <w:rPr>
          <w:rFonts w:hint="default" w:ascii="方正仿宋_GBK" w:hAnsi="方正仿宋_GBK" w:eastAsia="方正仿宋_GBK" w:cs="方正仿宋_GBK"/>
          <w:color w:val="auto"/>
          <w:kern w:val="0"/>
          <w:sz w:val="32"/>
          <w:szCs w:val="32"/>
        </w:rPr>
        <w:t>“记录失信被执行人或重大税收违法案件当事人名单或政府采购严重违法失信行为”记</w:t>
      </w:r>
      <w:r>
        <w:rPr>
          <w:rFonts w:hint="default" w:ascii="Times New Roman" w:hAnsi="Times New Roman" w:eastAsia="方正仿宋_GBK" w:cs="Times New Roman"/>
          <w:color w:val="auto"/>
          <w:kern w:val="0"/>
          <w:sz w:val="32"/>
          <w:szCs w:val="32"/>
        </w:rPr>
        <w:t>录名单；不处于中国政府采购网</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www.ccgp.gov.cn</w:t>
      </w:r>
      <w:r>
        <w:rPr>
          <w:rFonts w:hint="eastAsia" w:ascii="Times New Roman" w:hAnsi="Times New Roman" w:eastAsia="方正仿宋_GBK" w:cs="Times New Roman"/>
          <w:color w:val="auto"/>
          <w:kern w:val="0"/>
          <w:sz w:val="32"/>
          <w:szCs w:val="32"/>
          <w:lang w:eastAsia="zh-CN"/>
        </w:rPr>
        <w:t>）</w:t>
      </w:r>
      <w:r>
        <w:rPr>
          <w:rFonts w:hint="eastAsia" w:ascii="方正仿宋_GBK" w:hAnsi="方正仿宋_GBK" w:eastAsia="方正仿宋_GBK" w:cs="方正仿宋_GBK"/>
          <w:color w:val="auto"/>
          <w:kern w:val="0"/>
          <w:sz w:val="32"/>
          <w:szCs w:val="32"/>
        </w:rPr>
        <w:t>“政府采购严重违法失信行为信息记录”中</w:t>
      </w:r>
      <w:r>
        <w:rPr>
          <w:rFonts w:hint="default" w:ascii="Times New Roman" w:hAnsi="Times New Roman" w:eastAsia="方正仿宋_GBK" w:cs="Times New Roman"/>
          <w:color w:val="auto"/>
          <w:kern w:val="0"/>
          <w:sz w:val="32"/>
          <w:szCs w:val="32"/>
        </w:rPr>
        <w:t>的禁止参加政府采购活动期间；</w:t>
      </w:r>
    </w:p>
    <w:p w14:paraId="22C9D257">
      <w:pPr>
        <w:pStyle w:val="8"/>
        <w:ind w:firstLine="640"/>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3.报价人必须是广东政府采购智慧云平台电子卖场-集采馆-定点集市-修缮工程的供应商且服务区域包含江门市。（以评审当天在广东政府采购智慧云平台电子卖场-集采馆-定点集市-修缮工程查询结果为准。）。</w:t>
      </w:r>
    </w:p>
    <w:p w14:paraId="0AB1F605">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lang w:val="en-US"/>
        </w:rPr>
        <w:t>.</w:t>
      </w:r>
      <w:r>
        <w:rPr>
          <w:rFonts w:hint="default" w:ascii="Times New Roman" w:hAnsi="Times New Roman" w:eastAsia="方正仿宋_GBK" w:cs="Times New Roman"/>
          <w:color w:val="auto"/>
          <w:kern w:val="0"/>
          <w:sz w:val="32"/>
          <w:szCs w:val="32"/>
        </w:rPr>
        <w:t>单位负责人为同一人或者存在直接控股、管理关系的不同供应商，不得参加同一合同项下的政府采购活动。</w:t>
      </w:r>
    </w:p>
    <w:p w14:paraId="5837BB19">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b/>
          <w:bCs/>
          <w:color w:val="auto"/>
          <w:kern w:val="0"/>
          <w:sz w:val="32"/>
          <w:szCs w:val="32"/>
        </w:rPr>
      </w:pPr>
      <w:r>
        <w:rPr>
          <w:rFonts w:hint="eastAsia"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本项目不接受联合体投标。</w:t>
      </w:r>
    </w:p>
    <w:p w14:paraId="78F4072E">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lang w:val="en-US" w:eastAsia="zh-CN"/>
        </w:rPr>
        <w:t>三、</w:t>
      </w:r>
      <w:r>
        <w:rPr>
          <w:rFonts w:hint="default" w:ascii="方正黑体_GBK" w:hAnsi="方正黑体_GBK" w:eastAsia="方正黑体_GBK" w:cs="方正黑体_GBK"/>
          <w:b w:val="0"/>
          <w:bCs w:val="0"/>
          <w:color w:val="auto"/>
          <w:kern w:val="0"/>
          <w:sz w:val="32"/>
          <w:szCs w:val="32"/>
        </w:rPr>
        <w:t>项目内容</w:t>
      </w:r>
    </w:p>
    <w:p w14:paraId="6DCE0E37">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1.项目概况</w:t>
      </w:r>
    </w:p>
    <w:tbl>
      <w:tblPr>
        <w:tblStyle w:val="13"/>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955"/>
        <w:gridCol w:w="1276"/>
        <w:gridCol w:w="1505"/>
      </w:tblGrid>
      <w:tr w14:paraId="1E56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3" w:type="dxa"/>
            <w:vAlign w:val="center"/>
          </w:tcPr>
          <w:p w14:paraId="3DD4B8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序号</w:t>
            </w:r>
          </w:p>
        </w:tc>
        <w:tc>
          <w:tcPr>
            <w:tcW w:w="4955" w:type="dxa"/>
            <w:vAlign w:val="center"/>
          </w:tcPr>
          <w:p w14:paraId="533462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项目名称</w:t>
            </w:r>
          </w:p>
        </w:tc>
        <w:tc>
          <w:tcPr>
            <w:tcW w:w="1276" w:type="dxa"/>
            <w:vAlign w:val="center"/>
          </w:tcPr>
          <w:p w14:paraId="47A30B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数量</w:t>
            </w:r>
          </w:p>
        </w:tc>
        <w:tc>
          <w:tcPr>
            <w:tcW w:w="1505" w:type="dxa"/>
            <w:vAlign w:val="center"/>
          </w:tcPr>
          <w:p w14:paraId="22888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lang w:val="en-US" w:eastAsia="zh-CN"/>
              </w:rPr>
              <w:t>年度</w:t>
            </w:r>
            <w:r>
              <w:rPr>
                <w:rFonts w:hint="eastAsia" w:ascii="方正黑体_GBK" w:hAnsi="方正黑体_GBK" w:eastAsia="方正黑体_GBK" w:cs="方正黑体_GBK"/>
                <w:color w:val="auto"/>
                <w:sz w:val="28"/>
                <w:szCs w:val="28"/>
              </w:rPr>
              <w:t>预算金额（元）</w:t>
            </w:r>
          </w:p>
        </w:tc>
      </w:tr>
      <w:tr w14:paraId="59B2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23" w:type="dxa"/>
            <w:vAlign w:val="center"/>
          </w:tcPr>
          <w:p w14:paraId="68A881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4955" w:type="dxa"/>
            <w:vAlign w:val="center"/>
          </w:tcPr>
          <w:p w14:paraId="1B22EA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rPr>
              <w:t>鹤山市人民检察院</w:t>
            </w:r>
            <w:r>
              <w:rPr>
                <w:rFonts w:hint="eastAsia" w:ascii="Times New Roman" w:hAnsi="Times New Roman" w:eastAsia="方正仿宋_GBK" w:cs="Times New Roman"/>
                <w:color w:val="auto"/>
                <w:kern w:val="0"/>
                <w:sz w:val="28"/>
                <w:szCs w:val="28"/>
                <w:lang w:val="en-US" w:eastAsia="zh-CN"/>
              </w:rPr>
              <w:t>2026年度零星修缮</w:t>
            </w:r>
            <w:r>
              <w:rPr>
                <w:rFonts w:hint="default" w:ascii="Times New Roman" w:hAnsi="Times New Roman" w:eastAsia="方正仿宋_GBK" w:cs="Times New Roman"/>
                <w:color w:val="auto"/>
                <w:kern w:val="0"/>
                <w:sz w:val="28"/>
                <w:szCs w:val="28"/>
              </w:rPr>
              <w:t>项目</w:t>
            </w:r>
          </w:p>
        </w:tc>
        <w:tc>
          <w:tcPr>
            <w:tcW w:w="1276" w:type="dxa"/>
            <w:vAlign w:val="center"/>
          </w:tcPr>
          <w:p w14:paraId="71DCFD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1505" w:type="dxa"/>
            <w:vAlign w:val="center"/>
          </w:tcPr>
          <w:p w14:paraId="434C1768">
            <w:pPr>
              <w:keepNext w:val="0"/>
              <w:keepLines w:val="0"/>
              <w:pageBreakBefore w:val="0"/>
              <w:widowControl w:val="0"/>
              <w:tabs>
                <w:tab w:val="left" w:pos="286"/>
                <w:tab w:val="center" w:pos="12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lang w:val="en-US" w:eastAsia="zh-CN"/>
              </w:rPr>
              <w:t>80</w:t>
            </w:r>
            <w:r>
              <w:rPr>
                <w:rFonts w:hint="default" w:ascii="Times New Roman" w:hAnsi="Times New Roman" w:eastAsia="方正仿宋_GBK" w:cs="Times New Roman"/>
                <w:color w:val="auto"/>
                <w:sz w:val="28"/>
                <w:szCs w:val="28"/>
                <w:lang w:val="en-US" w:eastAsia="zh-CN"/>
              </w:rPr>
              <w:t>0</w:t>
            </w:r>
            <w:r>
              <w:rPr>
                <w:rFonts w:hint="default" w:ascii="Times New Roman" w:hAnsi="Times New Roman" w:eastAsia="方正仿宋_GBK" w:cs="Times New Roman"/>
                <w:color w:val="auto"/>
                <w:sz w:val="28"/>
                <w:szCs w:val="28"/>
              </w:rPr>
              <w:t>00</w:t>
            </w:r>
          </w:p>
        </w:tc>
      </w:tr>
    </w:tbl>
    <w:p w14:paraId="796D313E">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报价应包括货物价格（包含不限于钢筋、涂料、电线、瓷砖）、</w:t>
      </w:r>
      <w:r>
        <w:rPr>
          <w:rFonts w:hint="eastAsia" w:ascii="Times New Roman" w:hAnsi="Times New Roman" w:eastAsia="方正仿宋_GBK" w:cs="Times New Roman"/>
          <w:color w:val="auto"/>
          <w:kern w:val="0"/>
          <w:sz w:val="32"/>
          <w:szCs w:val="32"/>
          <w:lang w:val="en-US" w:eastAsia="zh-CN" w:bidi="ar-SA"/>
        </w:rPr>
        <w:t>人</w:t>
      </w:r>
      <w:r>
        <w:rPr>
          <w:rFonts w:hint="default" w:ascii="Times New Roman" w:hAnsi="Times New Roman" w:eastAsia="方正仿宋_GBK" w:cs="Times New Roman"/>
          <w:color w:val="auto"/>
          <w:kern w:val="0"/>
          <w:sz w:val="32"/>
          <w:szCs w:val="32"/>
          <w:lang w:val="en-US" w:eastAsia="zh-CN" w:bidi="ar-SA"/>
        </w:rPr>
        <w:t>员施</w:t>
      </w:r>
      <w:r>
        <w:rPr>
          <w:rFonts w:hint="eastAsia" w:ascii="Times New Roman" w:hAnsi="Times New Roman" w:eastAsia="方正仿宋_GBK" w:cs="Times New Roman"/>
          <w:color w:val="auto"/>
          <w:kern w:val="0"/>
          <w:sz w:val="32"/>
          <w:szCs w:val="32"/>
          <w:lang w:val="en-US" w:eastAsia="zh-CN" w:bidi="ar-SA"/>
        </w:rPr>
        <w:t>工</w:t>
      </w:r>
      <w:r>
        <w:rPr>
          <w:rFonts w:hint="default" w:ascii="Times New Roman" w:hAnsi="Times New Roman" w:eastAsia="方正仿宋_GBK" w:cs="Times New Roman"/>
          <w:color w:val="auto"/>
          <w:kern w:val="0"/>
          <w:sz w:val="32"/>
          <w:szCs w:val="32"/>
          <w:lang w:val="en-US" w:eastAsia="zh-CN" w:bidi="ar-SA"/>
        </w:rPr>
        <w:t>费、运输费、搬运费、安装费、货物运</w:t>
      </w:r>
      <w:r>
        <w:rPr>
          <w:rFonts w:hint="eastAsia" w:ascii="Times New Roman" w:hAnsi="Times New Roman" w:eastAsia="方正仿宋_GBK" w:cs="Times New Roman"/>
          <w:color w:val="auto"/>
          <w:kern w:val="0"/>
          <w:sz w:val="32"/>
          <w:szCs w:val="32"/>
          <w:lang w:val="en-US" w:eastAsia="zh-CN" w:bidi="ar-SA"/>
        </w:rPr>
        <w:t>至</w:t>
      </w:r>
      <w:r>
        <w:rPr>
          <w:rFonts w:hint="default" w:ascii="Times New Roman" w:hAnsi="Times New Roman" w:eastAsia="方正仿宋_GBK" w:cs="Times New Roman"/>
          <w:color w:val="auto"/>
          <w:kern w:val="0"/>
          <w:sz w:val="32"/>
          <w:szCs w:val="32"/>
          <w:lang w:val="en-US" w:eastAsia="zh-CN" w:bidi="ar-SA"/>
        </w:rPr>
        <w:t>采购</w:t>
      </w:r>
      <w:r>
        <w:rPr>
          <w:rFonts w:hint="eastAsia" w:ascii="Times New Roman" w:hAnsi="Times New Roman" w:eastAsia="方正仿宋_GBK" w:cs="Times New Roman"/>
          <w:color w:val="auto"/>
          <w:kern w:val="0"/>
          <w:sz w:val="32"/>
          <w:szCs w:val="32"/>
          <w:lang w:val="en-US" w:eastAsia="zh-CN" w:bidi="ar-SA"/>
        </w:rPr>
        <w:t>人</w:t>
      </w:r>
      <w:r>
        <w:rPr>
          <w:rFonts w:hint="default" w:ascii="Times New Roman" w:hAnsi="Times New Roman" w:eastAsia="方正仿宋_GBK" w:cs="Times New Roman"/>
          <w:color w:val="auto"/>
          <w:kern w:val="0"/>
          <w:sz w:val="32"/>
          <w:szCs w:val="32"/>
          <w:lang w:val="en-US" w:eastAsia="zh-CN" w:bidi="ar-SA"/>
        </w:rPr>
        <w:t>指定地点后的保管费、保修期内的维护费</w:t>
      </w:r>
      <w:r>
        <w:rPr>
          <w:rFonts w:hint="eastAsia" w:ascii="Times New Roman" w:hAnsi="Times New Roman" w:eastAsia="方正仿宋_GBK" w:cs="Times New Roman"/>
          <w:color w:val="auto"/>
          <w:kern w:val="0"/>
          <w:sz w:val="32"/>
          <w:szCs w:val="32"/>
          <w:lang w:val="en-US" w:eastAsia="zh-CN" w:bidi="ar-SA"/>
        </w:rPr>
        <w:t>用</w:t>
      </w:r>
      <w:r>
        <w:rPr>
          <w:rFonts w:hint="default" w:ascii="Times New Roman" w:hAnsi="Times New Roman" w:eastAsia="方正仿宋_GBK" w:cs="Times New Roman"/>
          <w:color w:val="auto"/>
          <w:kern w:val="0"/>
          <w:sz w:val="32"/>
          <w:szCs w:val="32"/>
          <w:lang w:val="en-US" w:eastAsia="zh-CN" w:bidi="ar-SA"/>
        </w:rPr>
        <w:t>、调试费、验收费、技术服务费、培训费、保险费、检验、税费、专</w:t>
      </w:r>
      <w:r>
        <w:rPr>
          <w:rFonts w:hint="eastAsia" w:ascii="Times New Roman" w:hAnsi="Times New Roman" w:eastAsia="方正仿宋_GBK" w:cs="Times New Roman"/>
          <w:color w:val="auto"/>
          <w:kern w:val="0"/>
          <w:sz w:val="32"/>
          <w:szCs w:val="32"/>
          <w:lang w:val="en-US" w:eastAsia="zh-CN" w:bidi="ar-SA"/>
        </w:rPr>
        <w:t>用工</w:t>
      </w:r>
      <w:r>
        <w:rPr>
          <w:rFonts w:hint="default" w:ascii="Times New Roman" w:hAnsi="Times New Roman" w:eastAsia="方正仿宋_GBK" w:cs="Times New Roman"/>
          <w:color w:val="auto"/>
          <w:kern w:val="0"/>
          <w:sz w:val="32"/>
          <w:szCs w:val="32"/>
          <w:lang w:val="en-US" w:eastAsia="zh-CN" w:bidi="ar-SA"/>
        </w:rPr>
        <w:t>具费、备品备件费以及所有不可预</w:t>
      </w:r>
      <w:r>
        <w:rPr>
          <w:rFonts w:hint="eastAsia" w:ascii="Times New Roman" w:hAnsi="Times New Roman" w:eastAsia="方正仿宋_GBK" w:cs="Times New Roman"/>
          <w:color w:val="auto"/>
          <w:kern w:val="0"/>
          <w:sz w:val="32"/>
          <w:szCs w:val="32"/>
          <w:lang w:val="en-US" w:eastAsia="zh-CN" w:bidi="ar-SA"/>
        </w:rPr>
        <w:t>见</w:t>
      </w:r>
      <w:r>
        <w:rPr>
          <w:rFonts w:hint="default" w:ascii="Times New Roman" w:hAnsi="Times New Roman" w:eastAsia="方正仿宋_GBK" w:cs="Times New Roman"/>
          <w:color w:val="auto"/>
          <w:kern w:val="0"/>
          <w:sz w:val="32"/>
          <w:szCs w:val="32"/>
          <w:lang w:val="en-US" w:eastAsia="zh-CN" w:bidi="ar-SA"/>
        </w:rPr>
        <w:t>的费</w:t>
      </w:r>
      <w:r>
        <w:rPr>
          <w:rFonts w:hint="eastAsia" w:ascii="Times New Roman" w:hAnsi="Times New Roman" w:eastAsia="方正仿宋_GBK" w:cs="Times New Roman"/>
          <w:color w:val="auto"/>
          <w:kern w:val="0"/>
          <w:sz w:val="32"/>
          <w:szCs w:val="32"/>
          <w:lang w:val="en-US" w:eastAsia="zh-CN" w:bidi="ar-SA"/>
        </w:rPr>
        <w:t>用</w:t>
      </w:r>
      <w:r>
        <w:rPr>
          <w:rFonts w:hint="default" w:ascii="Times New Roman" w:hAnsi="Times New Roman" w:eastAsia="方正仿宋_GBK" w:cs="Times New Roman"/>
          <w:color w:val="auto"/>
          <w:kern w:val="0"/>
          <w:sz w:val="32"/>
          <w:szCs w:val="32"/>
          <w:lang w:val="en-US" w:eastAsia="zh-CN" w:bidi="ar-SA"/>
        </w:rPr>
        <w:t>。</w:t>
      </w:r>
    </w:p>
    <w:p w14:paraId="2E19BAF5">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sz w:val="32"/>
          <w:szCs w:val="32"/>
          <w:lang w:val="en-US" w:eastAsia="zh-CN"/>
        </w:rPr>
        <w:t>2.服务内容</w:t>
      </w:r>
    </w:p>
    <w:p w14:paraId="5335DF37">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lang w:val="en-US" w:eastAsia="zh-CN"/>
        </w:rPr>
      </w:pPr>
      <w:r>
        <w:rPr>
          <w:rFonts w:hint="default" w:ascii="Times New Roman" w:hAnsi="Times New Roman" w:eastAsia="方正仿宋_GBK" w:cs="Times New Roman"/>
          <w:color w:val="auto"/>
          <w:kern w:val="0"/>
          <w:sz w:val="32"/>
          <w:szCs w:val="32"/>
          <w:lang w:val="en-US" w:eastAsia="zh-CN"/>
        </w:rPr>
        <w:t>（1）本项目的工程承包内容包括但不限于</w:t>
      </w:r>
      <w:r>
        <w:rPr>
          <w:rFonts w:hint="eastAsia" w:ascii="Times New Roman" w:hAnsi="Times New Roman" w:eastAsia="方正仿宋_GBK" w:cs="Times New Roman"/>
          <w:color w:val="auto"/>
          <w:kern w:val="0"/>
          <w:sz w:val="32"/>
          <w:szCs w:val="32"/>
          <w:lang w:val="en-US" w:eastAsia="zh-CN"/>
        </w:rPr>
        <w:t>补漏、广场地板砖更换、破裂玻璃更换、电动门维修等零星修缮，具体修缮内容以合同签订后采购人通知为准</w:t>
      </w:r>
      <w:r>
        <w:rPr>
          <w:rFonts w:hint="default" w:ascii="Times New Roman" w:hAnsi="Times New Roman" w:eastAsia="方正仿宋_GBK" w:cs="Times New Roman"/>
          <w:color w:val="auto"/>
          <w:kern w:val="0"/>
          <w:sz w:val="32"/>
          <w:szCs w:val="32"/>
          <w:lang w:val="en-US" w:eastAsia="zh-CN"/>
        </w:rPr>
        <w:t>；</w:t>
      </w:r>
    </w:p>
    <w:p w14:paraId="685A6D86">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（2）本项目合同范围内的零星工程由成交供应商包工包料，所有材料均由成交供应商提供，成交供应商按照采购人的要求及合同约定施工；</w:t>
      </w:r>
    </w:p>
    <w:p w14:paraId="25534C66">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lang w:val="en-US" w:eastAsia="zh-CN"/>
        </w:rPr>
        <w:t>）单项工程</w:t>
      </w:r>
      <w:r>
        <w:rPr>
          <w:rFonts w:hint="eastAsia" w:ascii="Times New Roman" w:hAnsi="Times New Roman" w:eastAsia="方正仿宋_GBK" w:cs="Times New Roman"/>
          <w:color w:val="auto"/>
          <w:kern w:val="0"/>
          <w:sz w:val="32"/>
          <w:szCs w:val="32"/>
          <w:lang w:val="en-US" w:eastAsia="zh-CN"/>
        </w:rPr>
        <w:t>项目造价</w:t>
      </w:r>
      <w:r>
        <w:rPr>
          <w:rFonts w:hint="default" w:ascii="Times New Roman" w:hAnsi="Times New Roman" w:eastAsia="方正仿宋_GBK" w:cs="Times New Roman"/>
          <w:color w:val="auto"/>
          <w:kern w:val="0"/>
          <w:sz w:val="32"/>
          <w:szCs w:val="32"/>
          <w:lang w:val="en-US" w:eastAsia="zh-CN"/>
        </w:rPr>
        <w:t>超过人民币1万元（含本数）或以上时，成交供应商要先出具书面预算和施工方案，经采购人书面确认后方可实施</w:t>
      </w:r>
      <w:r>
        <w:rPr>
          <w:rFonts w:hint="eastAsia" w:ascii="Times New Roman" w:hAnsi="Times New Roman" w:eastAsia="方正仿宋_GBK" w:cs="Times New Roman"/>
          <w:color w:val="auto"/>
          <w:kern w:val="0"/>
          <w:sz w:val="32"/>
          <w:szCs w:val="32"/>
          <w:lang w:val="en-US" w:eastAsia="zh-CN"/>
        </w:rPr>
        <w:t>。单个工程造价超过3万元的项目另外单独招标。</w:t>
      </w:r>
    </w:p>
    <w:p w14:paraId="2E5AE2CC">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3.工程要求</w:t>
      </w:r>
    </w:p>
    <w:p w14:paraId="4BC54754">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（1）成交供应商对工程质量、用材、安全、文明施工，要编制切实可行的施工方案，确保该工程顺利进行；成交供应商应积极接受采购人对工程质量的监督管理和指挥协调；</w:t>
      </w:r>
    </w:p>
    <w:p w14:paraId="5C165D96">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（2）成交供应商必须长期密切跟进每个单项工程的施工进度、配合进行施工工作。及时做好管件的预埋及洞口的预留尺寸，孔洞的开凿及修补费用由成交供应商自行承担；</w:t>
      </w:r>
    </w:p>
    <w:p w14:paraId="654310B4">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（3）遵守噪音和文明施工的管理规定，做到文明施工，工完场清；</w:t>
      </w:r>
    </w:p>
    <w:p w14:paraId="30C0732A">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（4）成交供应商自行承担施工区域的治安防盗工作，为进场主要材料以及对工程施工成品、半成品提供安保措施；</w:t>
      </w:r>
    </w:p>
    <w:p w14:paraId="2B07D2A6">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成交供应商严格按照采购人的施工要求进行文明施工，确保施工安全、防火安全以及施工人员或第三方的人身安全和财产安全，对施工人员进行严格管理，不得聘用无资质人员进行施工，成交供应商需为成交供应商施工人员购买人身意外险，施工现场所发生的安全问题均由成交供应商自行承担；</w:t>
      </w:r>
    </w:p>
    <w:p w14:paraId="74F7F170">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（6）针对不同单项项目或在特殊作业环境（包括高空作业、电气作业等），成交供应商应对作业人员采取劳动保护措施。</w:t>
      </w:r>
    </w:p>
    <w:p w14:paraId="0DAF866E">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施工员、专业工人应及时到位，及时进行维修。一般性维修，应在接到采购人通知后2小时内到场勘查，开展修复工作。保质期内若工程需要返修的，成交人在接到采购人通知后24小时内及时无条件开始返修工作，若成交人接到通知后24小时没有安排返修的，采购人有权另行委托施工单位进行返修，所发生的费用在本季度修缮结算费用中扣除。</w:t>
      </w:r>
    </w:p>
    <w:p w14:paraId="5C10E88A">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（8）成交供应商应及时处理应急抢修工作，在周六日、节假日等应急情况下，应无条件配合采购人要求进行维修。对于采购人安排的维修项目，应按采购人要求的工期保质保量完工。</w:t>
      </w:r>
    </w:p>
    <w:p w14:paraId="39CD4634">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四、商务要求</w:t>
      </w:r>
    </w:p>
    <w:p w14:paraId="793C2ADE">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1.本项目</w:t>
      </w:r>
      <w:r>
        <w:rPr>
          <w:rFonts w:hint="default" w:ascii="Times New Roman" w:hAnsi="Times New Roman" w:eastAsia="方正仿宋_GBK" w:cs="Times New Roman"/>
          <w:color w:val="auto"/>
          <w:kern w:val="0"/>
          <w:sz w:val="32"/>
          <w:szCs w:val="32"/>
          <w:lang w:val="en-US" w:eastAsia="zh-CN"/>
        </w:rPr>
        <w:t>年度</w:t>
      </w:r>
      <w:r>
        <w:rPr>
          <w:rFonts w:hint="default" w:ascii="Times New Roman" w:hAnsi="Times New Roman" w:eastAsia="方正仿宋_GBK" w:cs="Times New Roman"/>
          <w:color w:val="auto"/>
          <w:kern w:val="0"/>
          <w:sz w:val="32"/>
          <w:szCs w:val="32"/>
        </w:rPr>
        <w:t>预算为</w:t>
      </w:r>
      <w:r>
        <w:rPr>
          <w:rFonts w:hint="default" w:ascii="Times New Roman" w:hAnsi="Times New Roman" w:eastAsia="方正仿宋_GBK" w:cs="Times New Roman"/>
          <w:b/>
          <w:bCs/>
          <w:color w:val="auto"/>
          <w:kern w:val="0"/>
          <w:sz w:val="32"/>
          <w:szCs w:val="32"/>
        </w:rPr>
        <w:t>人民币</w:t>
      </w:r>
      <w:r>
        <w:rPr>
          <w:rFonts w:hint="eastAsia" w:ascii="Times New Roman" w:hAnsi="Times New Roman" w:eastAsia="方正仿宋_GBK" w:cs="Times New Roman"/>
          <w:b/>
          <w:bCs/>
          <w:color w:val="auto"/>
          <w:kern w:val="0"/>
          <w:sz w:val="32"/>
          <w:szCs w:val="32"/>
          <w:lang w:val="en-US" w:eastAsia="zh-CN"/>
        </w:rPr>
        <w:t>80</w:t>
      </w:r>
      <w:r>
        <w:rPr>
          <w:rFonts w:hint="default" w:ascii="Times New Roman" w:hAnsi="Times New Roman" w:eastAsia="方正仿宋_GBK" w:cs="Times New Roman"/>
          <w:b/>
          <w:bCs/>
          <w:color w:val="auto"/>
          <w:kern w:val="0"/>
          <w:sz w:val="32"/>
          <w:szCs w:val="32"/>
        </w:rPr>
        <w:t>000元</w:t>
      </w:r>
      <w:r>
        <w:rPr>
          <w:rFonts w:hint="default" w:ascii="Times New Roman" w:hAnsi="Times New Roman" w:eastAsia="方正仿宋_GBK" w:cs="Times New Roman"/>
          <w:color w:val="auto"/>
          <w:kern w:val="0"/>
          <w:sz w:val="32"/>
          <w:szCs w:val="32"/>
        </w:rPr>
        <w:t>。</w:t>
      </w:r>
    </w:p>
    <w:p w14:paraId="1BE0B6AF">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2.投标总价应为人民币含税全包价</w:t>
      </w:r>
      <w:r>
        <w:rPr>
          <w:rFonts w:hint="default" w:ascii="Times New Roman" w:hAnsi="Times New Roman" w:eastAsia="方正仿宋_GBK" w:cs="Times New Roman"/>
          <w:color w:val="auto"/>
          <w:kern w:val="0"/>
          <w:sz w:val="32"/>
          <w:szCs w:val="32"/>
          <w:lang w:val="en-US" w:eastAsia="zh-CN"/>
        </w:rPr>
        <w:t>，即含税全包价，报价不得超出预算总价。所有价格均应予人民币报价，金额单位为元</w:t>
      </w:r>
      <w:r>
        <w:rPr>
          <w:rFonts w:hint="default" w:ascii="Times New Roman" w:hAnsi="Times New Roman" w:eastAsia="方正仿宋_GBK" w:cs="Times New Roman"/>
          <w:color w:val="auto"/>
          <w:kern w:val="0"/>
          <w:sz w:val="32"/>
          <w:szCs w:val="32"/>
        </w:rPr>
        <w:t>。</w:t>
      </w:r>
    </w:p>
    <w:p w14:paraId="61216D96">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lang w:val="en-US" w:eastAsia="zh-CN"/>
        </w:rPr>
        <w:t>.本项目工程有质量保修期，每个单项项目的工程质量保修期为1年，自每个单项项目竣工并交付使用之日起计算。</w:t>
      </w:r>
    </w:p>
    <w:p w14:paraId="575E6372">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服务期限</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一年，若服务期限届满前，项目结算总金额达采购预算时，则本合同提前终止</w:t>
      </w:r>
      <w:r>
        <w:rPr>
          <w:rFonts w:hint="default" w:ascii="Times New Roman" w:hAnsi="Times New Roman" w:eastAsia="方正仿宋_GBK" w:cs="Times New Roman"/>
          <w:color w:val="auto"/>
          <w:kern w:val="0"/>
          <w:sz w:val="32"/>
          <w:szCs w:val="32"/>
        </w:rPr>
        <w:t>。</w:t>
      </w:r>
    </w:p>
    <w:p w14:paraId="0B15DE62">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.验收要求：</w:t>
      </w:r>
      <w:r>
        <w:rPr>
          <w:rFonts w:hint="default" w:ascii="Times New Roman" w:hAnsi="Times New Roman" w:eastAsia="方正仿宋_GBK" w:cs="Times New Roman"/>
          <w:color w:val="auto"/>
          <w:kern w:val="0"/>
          <w:sz w:val="32"/>
          <w:szCs w:val="32"/>
          <w:lang w:val="en-US" w:eastAsia="zh-CN"/>
        </w:rPr>
        <w:t>以合同要求为标准</w:t>
      </w:r>
      <w:r>
        <w:rPr>
          <w:rFonts w:hint="default" w:ascii="Times New Roman" w:hAnsi="Times New Roman" w:eastAsia="方正仿宋_GBK" w:cs="Times New Roman"/>
          <w:color w:val="auto"/>
          <w:kern w:val="0"/>
          <w:sz w:val="32"/>
          <w:szCs w:val="32"/>
        </w:rPr>
        <w:t>。</w:t>
      </w:r>
    </w:p>
    <w:p w14:paraId="3C3F95CC">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五、付款方式</w:t>
      </w:r>
    </w:p>
    <w:p w14:paraId="1A73638E">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由双方协商确定。</w:t>
      </w:r>
    </w:p>
    <w:p w14:paraId="50B2B03B">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六、评标方法</w:t>
      </w:r>
    </w:p>
    <w:p w14:paraId="0B8D907A">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在满足询价文件各项基本要求前提下，根据相关</w:t>
      </w:r>
      <w:r>
        <w:rPr>
          <w:rFonts w:hint="eastAsia" w:ascii="Times New Roman" w:hAnsi="Times New Roman" w:eastAsia="方正仿宋_GBK" w:cs="Times New Roman"/>
          <w:color w:val="auto"/>
          <w:kern w:val="0"/>
          <w:sz w:val="32"/>
          <w:szCs w:val="32"/>
          <w:lang w:val="en-US" w:eastAsia="zh-CN"/>
        </w:rPr>
        <w:t>业绩</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服务</w:t>
      </w:r>
      <w:r>
        <w:rPr>
          <w:rFonts w:hint="default" w:ascii="Times New Roman" w:hAnsi="Times New Roman" w:eastAsia="方正仿宋_GBK" w:cs="Times New Roman"/>
          <w:color w:val="auto"/>
          <w:kern w:val="0"/>
          <w:sz w:val="32"/>
          <w:szCs w:val="32"/>
        </w:rPr>
        <w:t>质量等综合考量（项目评分规则附后），将各评审总得分由高到低顺序排列，评审总得分相同的，按技术评分由高到低顺序排列；如都相同的，名次由</w:t>
      </w:r>
      <w:r>
        <w:rPr>
          <w:rFonts w:hint="eastAsia" w:ascii="Times New Roman" w:hAnsi="Times New Roman" w:eastAsia="方正仿宋_GBK" w:cs="Times New Roman"/>
          <w:color w:val="auto"/>
          <w:kern w:val="0"/>
          <w:sz w:val="32"/>
          <w:szCs w:val="32"/>
          <w:lang w:val="en-US" w:eastAsia="zh-CN"/>
        </w:rPr>
        <w:t>采购</w:t>
      </w:r>
      <w:r>
        <w:rPr>
          <w:rFonts w:hint="default" w:ascii="Times New Roman" w:hAnsi="Times New Roman" w:eastAsia="方正仿宋_GBK" w:cs="Times New Roman"/>
          <w:color w:val="auto"/>
          <w:kern w:val="0"/>
          <w:sz w:val="32"/>
          <w:szCs w:val="32"/>
        </w:rPr>
        <w:t>小组抽签确定。排名第一的供应商为第一成交候选人，排名第二的供应商为第二成交候选人，排名第三的供应商为第三成交候选人。</w:t>
      </w:r>
    </w:p>
    <w:p w14:paraId="6A5C8B1F">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七、询价文件递交时间和地点</w:t>
      </w:r>
    </w:p>
    <w:p w14:paraId="01987DFB">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递交报价文件截止时间：202</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14</w:t>
      </w:r>
      <w:r>
        <w:rPr>
          <w:rFonts w:hint="default" w:ascii="Times New Roman" w:hAnsi="Times New Roman" w:eastAsia="方正仿宋_GBK" w:cs="Times New Roman"/>
          <w:color w:val="auto"/>
          <w:kern w:val="0"/>
          <w:sz w:val="32"/>
          <w:szCs w:val="32"/>
        </w:rPr>
        <w:t>日</w:t>
      </w:r>
      <w:r>
        <w:rPr>
          <w:rFonts w:hint="eastAsia" w:ascii="Times New Roman" w:hAnsi="Times New Roman" w:eastAsia="方正仿宋_GBK" w:cs="Times New Roman"/>
          <w:color w:val="auto"/>
          <w:kern w:val="0"/>
          <w:sz w:val="32"/>
          <w:szCs w:val="32"/>
          <w:lang w:val="en-US" w:eastAsia="zh-CN"/>
        </w:rPr>
        <w:t>18</w:t>
      </w:r>
      <w:r>
        <w:rPr>
          <w:rFonts w:hint="default" w:ascii="Times New Roman" w:hAnsi="Times New Roman" w:eastAsia="方正仿宋_GBK" w:cs="Times New Roman"/>
          <w:color w:val="auto"/>
          <w:kern w:val="0"/>
          <w:sz w:val="32"/>
          <w:szCs w:val="32"/>
        </w:rPr>
        <w:t>时</w:t>
      </w:r>
      <w:r>
        <w:rPr>
          <w:rFonts w:hint="eastAsia" w:ascii="Times New Roman" w:hAnsi="Times New Roman" w:eastAsia="方正仿宋_GBK" w:cs="Times New Roman"/>
          <w:color w:val="auto"/>
          <w:kern w:val="0"/>
          <w:sz w:val="32"/>
          <w:szCs w:val="32"/>
          <w:lang w:val="en-US" w:eastAsia="zh-CN"/>
        </w:rPr>
        <w:t>00</w:t>
      </w:r>
      <w:r>
        <w:rPr>
          <w:rFonts w:hint="default" w:ascii="Times New Roman" w:hAnsi="Times New Roman" w:eastAsia="方正仿宋_GBK" w:cs="Times New Roman"/>
          <w:color w:val="auto"/>
          <w:kern w:val="0"/>
          <w:sz w:val="32"/>
          <w:szCs w:val="32"/>
        </w:rPr>
        <w:t>分（注：9时00分开始受理报价文件）；</w:t>
      </w:r>
      <w:r>
        <w:rPr>
          <w:rFonts w:hint="default" w:ascii="Times New Roman" w:hAnsi="Times New Roman" w:eastAsia="方正仿宋_GBK" w:cs="Times New Roman"/>
          <w:color w:val="auto"/>
          <w:kern w:val="0"/>
          <w:sz w:val="32"/>
          <w:szCs w:val="32"/>
          <w:lang w:val="en-US" w:eastAsia="zh-CN"/>
        </w:rPr>
        <w:t>报价文件须</w:t>
      </w:r>
      <w:r>
        <w:rPr>
          <w:rFonts w:hint="default" w:ascii="Times New Roman" w:hAnsi="Times New Roman" w:eastAsia="方正仿宋_GBK" w:cs="Times New Roman"/>
          <w:color w:val="auto"/>
          <w:kern w:val="0"/>
          <w:sz w:val="32"/>
          <w:szCs w:val="32"/>
        </w:rPr>
        <w:t>以密封包装邮寄到至鹤山市沙坪</w:t>
      </w:r>
      <w:r>
        <w:rPr>
          <w:rFonts w:hint="default" w:ascii="Times New Roman" w:hAnsi="Times New Roman" w:eastAsia="方正仿宋_GBK" w:cs="Times New Roman"/>
          <w:color w:val="auto"/>
          <w:kern w:val="0"/>
          <w:sz w:val="32"/>
          <w:szCs w:val="32"/>
          <w:lang w:eastAsia="zh-CN"/>
        </w:rPr>
        <w:t>街道</w:t>
      </w:r>
      <w:r>
        <w:rPr>
          <w:rFonts w:hint="default" w:ascii="Times New Roman" w:hAnsi="Times New Roman" w:eastAsia="方正仿宋_GBK" w:cs="Times New Roman"/>
          <w:color w:val="auto"/>
          <w:kern w:val="0"/>
          <w:sz w:val="32"/>
          <w:szCs w:val="32"/>
        </w:rPr>
        <w:t>文华路96号鹤山市人民检察院为有效，逾时不候。收件人：温小姐 联系电话：</w:t>
      </w:r>
      <w:r>
        <w:rPr>
          <w:rFonts w:hint="default" w:ascii="Times New Roman" w:hAnsi="Times New Roman" w:eastAsia="方正仿宋_GBK" w:cs="Times New Roman"/>
          <w:color w:val="auto"/>
          <w:kern w:val="0"/>
          <w:sz w:val="32"/>
          <w:szCs w:val="32"/>
          <w:lang w:val="en-US" w:eastAsia="zh-CN"/>
        </w:rPr>
        <w:t>0750-8872321</w:t>
      </w:r>
      <w:r>
        <w:rPr>
          <w:rFonts w:hint="default" w:ascii="Times New Roman" w:hAnsi="Times New Roman" w:eastAsia="方正仿宋_GBK" w:cs="Times New Roman"/>
          <w:color w:val="auto"/>
          <w:kern w:val="0"/>
          <w:sz w:val="32"/>
          <w:szCs w:val="32"/>
        </w:rPr>
        <w:t>。询价文件数量：</w:t>
      </w:r>
      <w:r>
        <w:rPr>
          <w:rFonts w:hint="default" w:ascii="Times New Roman" w:hAnsi="Times New Roman" w:eastAsia="方正仿宋_GBK" w:cs="Times New Roman"/>
          <w:b/>
          <w:bCs/>
          <w:color w:val="auto"/>
          <w:kern w:val="0"/>
          <w:sz w:val="32"/>
          <w:szCs w:val="32"/>
          <w:lang w:val="en-US" w:eastAsia="zh-CN"/>
        </w:rPr>
        <w:t>5</w:t>
      </w:r>
      <w:r>
        <w:rPr>
          <w:rFonts w:hint="default" w:ascii="Times New Roman" w:hAnsi="Times New Roman" w:eastAsia="方正仿宋_GBK" w:cs="Times New Roman"/>
          <w:b/>
          <w:bCs/>
          <w:color w:val="auto"/>
          <w:kern w:val="0"/>
          <w:sz w:val="32"/>
          <w:szCs w:val="32"/>
        </w:rPr>
        <w:t>份</w:t>
      </w:r>
      <w:r>
        <w:rPr>
          <w:rFonts w:hint="default" w:ascii="Times New Roman" w:hAnsi="Times New Roman" w:eastAsia="方正仿宋_GBK" w:cs="Times New Roman"/>
          <w:color w:val="auto"/>
          <w:kern w:val="0"/>
          <w:sz w:val="32"/>
          <w:szCs w:val="32"/>
        </w:rPr>
        <w:t>。每一份询价文件的密封袋两头封口上均需贴封条，</w:t>
      </w:r>
      <w:r>
        <w:rPr>
          <w:rFonts w:hint="default" w:ascii="Times New Roman" w:hAnsi="Times New Roman" w:eastAsia="方正仿宋_GBK" w:cs="Times New Roman"/>
          <w:color w:val="auto"/>
          <w:kern w:val="0"/>
          <w:sz w:val="32"/>
          <w:szCs w:val="32"/>
          <w:lang w:val="en-US" w:eastAsia="zh-CN"/>
        </w:rPr>
        <w:t>并</w:t>
      </w:r>
      <w:r>
        <w:rPr>
          <w:rFonts w:hint="default" w:ascii="Times New Roman" w:hAnsi="Times New Roman" w:eastAsia="方正仿宋_GBK" w:cs="Times New Roman"/>
          <w:color w:val="auto"/>
          <w:kern w:val="0"/>
          <w:sz w:val="32"/>
          <w:szCs w:val="32"/>
        </w:rPr>
        <w:t>加盖骑缝章（公章）。</w:t>
      </w:r>
    </w:p>
    <w:p w14:paraId="7008977D">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如果未按上述规定进行密封和标记，对投标文件的误投或提前拆封不负责，并将拒绝接收密封不完好的投标文件。</w:t>
      </w:r>
    </w:p>
    <w:p w14:paraId="440E810F">
      <w:pPr>
        <w:pStyle w:val="8"/>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项目询价开标时间：202</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15</w:t>
      </w:r>
      <w:r>
        <w:rPr>
          <w:rFonts w:hint="default" w:ascii="Times New Roman" w:hAnsi="Times New Roman" w:eastAsia="方正仿宋_GBK" w:cs="Times New Roman"/>
          <w:color w:val="auto"/>
          <w:kern w:val="0"/>
          <w:sz w:val="32"/>
          <w:szCs w:val="32"/>
        </w:rPr>
        <w:t>日</w:t>
      </w:r>
      <w:r>
        <w:rPr>
          <w:rFonts w:hint="eastAsia" w:ascii="Times New Roman" w:hAnsi="Times New Roman" w:eastAsia="方正仿宋_GBK" w:cs="Times New Roman"/>
          <w:color w:val="auto"/>
          <w:kern w:val="0"/>
          <w:sz w:val="32"/>
          <w:szCs w:val="32"/>
          <w:lang w:val="en-US" w:eastAsia="zh-CN"/>
        </w:rPr>
        <w:t>早上10</w:t>
      </w:r>
      <w:r>
        <w:rPr>
          <w:rFonts w:hint="default" w:ascii="Times New Roman" w:hAnsi="Times New Roman" w:eastAsia="方正仿宋_GBK" w:cs="Times New Roman"/>
          <w:color w:val="auto"/>
          <w:kern w:val="0"/>
          <w:sz w:val="32"/>
          <w:szCs w:val="32"/>
        </w:rPr>
        <w:t>时00分，地点：鹤山市人民检察院二楼会议室。</w:t>
      </w:r>
    </w:p>
    <w:p w14:paraId="5B2889B4">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方正黑体_GBK" w:hAnsi="方正黑体_GBK" w:eastAsia="方正黑体_GBK" w:cs="方正黑体_GBK"/>
          <w:b w:val="0"/>
          <w:bCs w:val="0"/>
          <w:color w:val="auto"/>
          <w:kern w:val="0"/>
          <w:sz w:val="32"/>
          <w:szCs w:val="32"/>
          <w:lang w:val="en-US" w:eastAsia="zh-CN"/>
        </w:rPr>
      </w:pPr>
      <w:r>
        <w:rPr>
          <w:rFonts w:hint="default" w:ascii="方正黑体_GBK" w:hAnsi="方正黑体_GBK" w:eastAsia="方正黑体_GBK" w:cs="方正黑体_GBK"/>
          <w:b w:val="0"/>
          <w:bCs w:val="0"/>
          <w:color w:val="auto"/>
          <w:kern w:val="0"/>
          <w:sz w:val="32"/>
          <w:szCs w:val="32"/>
          <w:lang w:val="en-US" w:eastAsia="zh-CN"/>
        </w:rPr>
        <w:t>八、询价文件清单</w:t>
      </w:r>
    </w:p>
    <w:p w14:paraId="1F5C8D2E">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询价文件中应包含下列</w:t>
      </w: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份材料：</w:t>
      </w:r>
    </w:p>
    <w:p w14:paraId="1C51A34A">
      <w:pPr>
        <w:pStyle w:val="8"/>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1.公司资质证明文件</w:t>
      </w:r>
    </w:p>
    <w:p w14:paraId="5EC7177C">
      <w:pPr>
        <w:pStyle w:val="8"/>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2.法定代表人授权书</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格式参照附件一</w:t>
      </w:r>
      <w:r>
        <w:rPr>
          <w:rFonts w:hint="eastAsia" w:ascii="Times New Roman" w:hAnsi="Times New Roman" w:eastAsia="方正仿宋_GBK" w:cs="Times New Roman"/>
          <w:color w:val="auto"/>
          <w:kern w:val="0"/>
          <w:sz w:val="32"/>
          <w:szCs w:val="32"/>
          <w:lang w:val="en-US" w:eastAsia="zh-CN" w:bidi="ar-SA"/>
        </w:rPr>
        <w:t>）</w:t>
      </w:r>
    </w:p>
    <w:p w14:paraId="75BBC2EC">
      <w:pPr>
        <w:pStyle w:val="8"/>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3.服务方案（包括人员配置、服务承诺等）</w:t>
      </w:r>
    </w:p>
    <w:p w14:paraId="01479508">
      <w:pPr>
        <w:pStyle w:val="8"/>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4.服务客户名单（提供近三年内完成的服务合同或案例）</w:t>
      </w:r>
    </w:p>
    <w:p w14:paraId="041BE4AE">
      <w:pPr>
        <w:pStyle w:val="8"/>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color w:val="auto"/>
          <w:kern w:val="0"/>
          <w:sz w:val="32"/>
          <w:szCs w:val="32"/>
          <w:lang w:val="en-US" w:eastAsia="zh-CN" w:bidi="ar-SA"/>
        </w:rPr>
        <w:t>5</w:t>
      </w:r>
      <w:r>
        <w:rPr>
          <w:rFonts w:hint="default" w:ascii="Times New Roman" w:hAnsi="Times New Roman" w:eastAsia="方正仿宋_GBK" w:cs="Times New Roman"/>
          <w:color w:val="auto"/>
          <w:kern w:val="0"/>
          <w:sz w:val="32"/>
          <w:szCs w:val="32"/>
          <w:lang w:val="en-US" w:eastAsia="zh-CN" w:bidi="ar-SA"/>
        </w:rPr>
        <w:t>.有关于本项目的其他材料</w:t>
      </w:r>
    </w:p>
    <w:p w14:paraId="0638BFD7">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7D2801C9">
      <w:pPr>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br w:type="page"/>
      </w:r>
    </w:p>
    <w:p w14:paraId="5A335763">
      <w:pPr>
        <w:pStyle w:val="31"/>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附件</w:t>
      </w:r>
      <w:r>
        <w:rPr>
          <w:rFonts w:hint="eastAsia" w:ascii="方正黑体_GBK" w:hAnsi="方正黑体_GBK" w:eastAsia="方正黑体_GBK" w:cs="方正黑体_GBK"/>
          <w:b w:val="0"/>
          <w:bCs w:val="0"/>
          <w:color w:val="000000"/>
          <w:sz w:val="32"/>
          <w:szCs w:val="32"/>
          <w:lang w:val="en-US" w:eastAsia="zh-CN"/>
        </w:rPr>
        <w:t>一</w:t>
      </w:r>
    </w:p>
    <w:p w14:paraId="28B8B2B3">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方正黑体_GBK" w:hAnsi="方正黑体_GBK" w:eastAsia="方正黑体_GBK" w:cs="方正黑体_GBK"/>
          <w:b w:val="0"/>
          <w:bCs w:val="0"/>
          <w:color w:val="000000"/>
          <w:sz w:val="32"/>
          <w:szCs w:val="32"/>
        </w:rPr>
      </w:pPr>
      <w:r>
        <w:rPr>
          <w:rFonts w:hint="default" w:ascii="方正黑体_GBK" w:hAnsi="方正黑体_GBK" w:eastAsia="方正黑体_GBK" w:cs="方正黑体_GBK"/>
          <w:b w:val="0"/>
          <w:bCs w:val="0"/>
          <w:color w:val="000000"/>
          <w:sz w:val="32"/>
          <w:szCs w:val="32"/>
        </w:rPr>
        <w:t>法定代表人授权书</w:t>
      </w:r>
    </w:p>
    <w:p w14:paraId="71F255FE">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1875374C">
      <w:pPr>
        <w:pStyle w:val="31"/>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鹤山市人民检察院：</w:t>
      </w:r>
    </w:p>
    <w:p w14:paraId="316E8BAE">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兹授权：注册身份证号码为</w:t>
      </w:r>
      <w:r>
        <w:rPr>
          <w:rFonts w:hint="default" w:ascii="Times New Roman" w:hAnsi="Times New Roman" w:eastAsia="方正仿宋_GBK" w:cs="Times New Roman"/>
          <w:b w:val="0"/>
          <w:bCs w:val="0"/>
          <w:color w:val="000000"/>
          <w:sz w:val="32"/>
          <w:szCs w:val="32"/>
          <w:u w:val="single"/>
        </w:rPr>
        <w:t>                    </w:t>
      </w:r>
      <w:r>
        <w:rPr>
          <w:rFonts w:hint="default" w:ascii="Times New Roman" w:hAnsi="Times New Roman" w:eastAsia="方正仿宋_GBK" w:cs="Times New Roman"/>
          <w:b w:val="0"/>
          <w:bCs w:val="0"/>
          <w:color w:val="000000"/>
          <w:sz w:val="32"/>
          <w:szCs w:val="32"/>
        </w:rPr>
        <w:t>的</w:t>
      </w:r>
      <w:r>
        <w:rPr>
          <w:rFonts w:hint="eastAsia" w:ascii="Times New Roman" w:hAnsi="Times New Roman" w:eastAsia="方正仿宋_GBK" w:cs="Times New Roman"/>
          <w:b w:val="0"/>
          <w:bCs w:val="0"/>
          <w:color w:val="000000"/>
          <w:sz w:val="32"/>
          <w:szCs w:val="32"/>
          <w:u w:val="single"/>
          <w:lang w:val="en-US" w:eastAsia="zh-CN"/>
        </w:rPr>
        <w:t xml:space="preserve">      </w:t>
      </w:r>
      <w:r>
        <w:rPr>
          <w:rFonts w:hint="default" w:ascii="Times New Roman" w:hAnsi="Times New Roman" w:eastAsia="方正仿宋_GBK" w:cs="Times New Roman"/>
          <w:b w:val="0"/>
          <w:bCs w:val="0"/>
          <w:color w:val="000000"/>
          <w:sz w:val="32"/>
          <w:szCs w:val="32"/>
        </w:rPr>
        <w:t>（被授权人）先生/小姐作为我公司的合法授权代理人，参与贵单位承办的</w:t>
      </w:r>
      <w:r>
        <w:rPr>
          <w:rFonts w:hint="eastAsia" w:ascii="Times New Roman" w:hAnsi="Times New Roman" w:eastAsia="方正仿宋_GBK" w:cs="Times New Roman"/>
          <w:b w:val="0"/>
          <w:bCs w:val="0"/>
          <w:color w:val="000000"/>
          <w:sz w:val="32"/>
          <w:szCs w:val="32"/>
          <w:lang w:val="en-US" w:eastAsia="zh-CN"/>
        </w:rPr>
        <w:t>2026年度零星修缮</w:t>
      </w:r>
      <w:r>
        <w:rPr>
          <w:rFonts w:hint="default" w:ascii="Times New Roman" w:hAnsi="Times New Roman" w:eastAsia="方正仿宋_GBK" w:cs="Times New Roman"/>
          <w:b w:val="0"/>
          <w:bCs w:val="0"/>
          <w:color w:val="000000"/>
          <w:sz w:val="32"/>
          <w:szCs w:val="32"/>
        </w:rPr>
        <w:t>项目招标。</w:t>
      </w:r>
    </w:p>
    <w:p w14:paraId="7E37C870">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项目名称：鹤山市人民检察院</w:t>
      </w:r>
      <w:r>
        <w:rPr>
          <w:rFonts w:hint="eastAsia" w:ascii="Times New Roman" w:hAnsi="Times New Roman" w:eastAsia="方正仿宋_GBK" w:cs="Times New Roman"/>
          <w:b w:val="0"/>
          <w:bCs w:val="0"/>
          <w:color w:val="000000"/>
          <w:sz w:val="32"/>
          <w:szCs w:val="32"/>
          <w:lang w:val="en-US" w:eastAsia="zh-CN"/>
        </w:rPr>
        <w:t>2026年度零星修缮</w:t>
      </w:r>
      <w:r>
        <w:rPr>
          <w:rFonts w:hint="default" w:ascii="Times New Roman" w:hAnsi="Times New Roman" w:eastAsia="方正仿宋_GBK" w:cs="Times New Roman"/>
          <w:b w:val="0"/>
          <w:bCs w:val="0"/>
          <w:color w:val="000000"/>
          <w:sz w:val="32"/>
          <w:szCs w:val="32"/>
        </w:rPr>
        <w:t>项目</w:t>
      </w:r>
    </w:p>
    <w:p w14:paraId="6D21B2C2">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授权权限：全权代表本公司参与上述采购项目的招标，并处理与之相关的一切文书的确认。</w:t>
      </w:r>
    </w:p>
    <w:p w14:paraId="06E57D77">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有效期限：与本公司招标响应文件中标注的招标响应有效期相同，自法人代表签字之日起生效。</w:t>
      </w:r>
    </w:p>
    <w:p w14:paraId="32EA2DFD">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授权代理人：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14:paraId="20F79A40">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联系电话：                         </w:t>
      </w:r>
    </w:p>
    <w:p w14:paraId="21F6F8D8">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14:paraId="4870754C">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公司名称：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（公章） </w:t>
      </w:r>
    </w:p>
    <w:p w14:paraId="53CF4F8F">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营业执照号码：                     </w:t>
      </w:r>
    </w:p>
    <w:p w14:paraId="2D222D6B">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法定代表人：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14:paraId="64713A9D">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联系电话：                         </w:t>
      </w:r>
    </w:p>
    <w:p w14:paraId="043194A1">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14:paraId="17FFDF29">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签字生效日期：202</w:t>
      </w:r>
      <w:r>
        <w:rPr>
          <w:rFonts w:hint="eastAsia" w:ascii="Times New Roman" w:hAnsi="Times New Roman" w:eastAsia="方正仿宋_GBK" w:cs="Times New Roman"/>
          <w:b w:val="0"/>
          <w:bCs w:val="0"/>
          <w:color w:val="000000"/>
          <w:sz w:val="32"/>
          <w:szCs w:val="32"/>
          <w:lang w:val="en-US" w:eastAsia="zh-CN"/>
        </w:rPr>
        <w:t>6</w:t>
      </w:r>
      <w:r>
        <w:rPr>
          <w:rFonts w:hint="default" w:ascii="Times New Roman" w:hAnsi="Times New Roman" w:eastAsia="方正仿宋_GBK" w:cs="Times New Roman"/>
          <w:b w:val="0"/>
          <w:bCs w:val="0"/>
          <w:color w:val="000000"/>
          <w:sz w:val="32"/>
          <w:szCs w:val="32"/>
        </w:rPr>
        <w:t>年   月   日</w:t>
      </w:r>
    </w:p>
    <w:p w14:paraId="48835E4E">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5EB194D1">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623DACB3">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left"/>
        <w:textAlignment w:val="auto"/>
        <w:rPr>
          <w:rFonts w:hint="default" w:ascii="方正黑体_GBK" w:hAnsi="方正黑体_GBK" w:eastAsia="方正黑体_GBK" w:cs="方正黑体_GBK"/>
          <w:b w:val="0"/>
          <w:bCs w:val="0"/>
          <w:color w:val="000000"/>
          <w:sz w:val="32"/>
          <w:szCs w:val="32"/>
        </w:rPr>
      </w:pPr>
      <w:r>
        <w:rPr>
          <w:rFonts w:hint="default" w:ascii="方正黑体_GBK" w:hAnsi="方正黑体_GBK" w:eastAsia="方正黑体_GBK" w:cs="方正黑体_GBK"/>
          <w:b w:val="0"/>
          <w:bCs w:val="0"/>
          <w:color w:val="000000"/>
          <w:sz w:val="32"/>
          <w:szCs w:val="32"/>
        </w:rPr>
        <w:t>附件</w:t>
      </w:r>
      <w:r>
        <w:rPr>
          <w:rFonts w:hint="eastAsia" w:ascii="方正黑体_GBK" w:hAnsi="方正黑体_GBK" w:eastAsia="方正黑体_GBK" w:cs="方正黑体_GBK"/>
          <w:b w:val="0"/>
          <w:bCs w:val="0"/>
          <w:color w:val="000000"/>
          <w:sz w:val="32"/>
          <w:szCs w:val="32"/>
          <w:lang w:val="en-US" w:eastAsia="zh-CN"/>
        </w:rPr>
        <w:t>二</w:t>
      </w:r>
    </w:p>
    <w:p w14:paraId="09F365CF">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方正黑体_GBK" w:hAnsi="方正黑体_GBK" w:eastAsia="方正黑体_GBK" w:cs="方正黑体_GBK"/>
          <w:b w:val="0"/>
          <w:bCs w:val="0"/>
          <w:color w:val="000000"/>
          <w:sz w:val="32"/>
          <w:szCs w:val="32"/>
        </w:rPr>
      </w:pPr>
      <w:r>
        <w:rPr>
          <w:rFonts w:hint="default" w:ascii="方正黑体_GBK" w:hAnsi="方正黑体_GBK" w:eastAsia="方正黑体_GBK" w:cs="方正黑体_GBK"/>
          <w:b w:val="0"/>
          <w:bCs w:val="0"/>
          <w:color w:val="000000"/>
          <w:sz w:val="32"/>
          <w:szCs w:val="32"/>
        </w:rPr>
        <w:t>项目评分规则</w:t>
      </w:r>
    </w:p>
    <w:p w14:paraId="27DFE789">
      <w:pPr>
        <w:pStyle w:val="31"/>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p>
    <w:p w14:paraId="4FBFC385">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bookmarkStart w:id="16" w:name="_GoBack"/>
      <w:bookmarkEnd w:id="16"/>
      <w:r>
        <w:rPr>
          <w:rFonts w:hint="default" w:ascii="Times New Roman" w:hAnsi="Times New Roman" w:eastAsia="方正仿宋_GBK" w:cs="Times New Roman"/>
          <w:b w:val="0"/>
          <w:bCs w:val="0"/>
          <w:color w:val="000000"/>
          <w:sz w:val="32"/>
          <w:szCs w:val="32"/>
        </w:rPr>
        <w:t>评分总值最高为100分，评分分值分配如下：</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1CAE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704" w:type="dxa"/>
          </w:tcPr>
          <w:p w14:paraId="1E7F65E5">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评分项目</w:t>
            </w:r>
          </w:p>
        </w:tc>
        <w:tc>
          <w:tcPr>
            <w:tcW w:w="1704" w:type="dxa"/>
          </w:tcPr>
          <w:p w14:paraId="13230E58">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技术评分</w:t>
            </w:r>
          </w:p>
        </w:tc>
        <w:tc>
          <w:tcPr>
            <w:tcW w:w="1704" w:type="dxa"/>
          </w:tcPr>
          <w:p w14:paraId="0A2669CA">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商务评分</w:t>
            </w:r>
          </w:p>
        </w:tc>
        <w:tc>
          <w:tcPr>
            <w:tcW w:w="1705" w:type="dxa"/>
          </w:tcPr>
          <w:p w14:paraId="4F21DFA8">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价格评分</w:t>
            </w:r>
          </w:p>
        </w:tc>
        <w:tc>
          <w:tcPr>
            <w:tcW w:w="1705" w:type="dxa"/>
          </w:tcPr>
          <w:p w14:paraId="4E360242">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合计</w:t>
            </w:r>
          </w:p>
        </w:tc>
      </w:tr>
      <w:tr w14:paraId="17B7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4" w:type="dxa"/>
          </w:tcPr>
          <w:p w14:paraId="5C723C28">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分值</w:t>
            </w:r>
          </w:p>
        </w:tc>
        <w:tc>
          <w:tcPr>
            <w:tcW w:w="1704" w:type="dxa"/>
          </w:tcPr>
          <w:p w14:paraId="33104572">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eastAsia" w:ascii="Times New Roman" w:hAnsi="Times New Roman" w:eastAsia="方正仿宋_GBK" w:cs="Times New Roman"/>
                <w:b w:val="0"/>
                <w:bCs w:val="0"/>
                <w:color w:val="000000"/>
                <w:sz w:val="32"/>
                <w:szCs w:val="32"/>
                <w:lang w:val="en-US" w:eastAsia="zh-CN"/>
              </w:rPr>
              <w:t>46</w:t>
            </w:r>
            <w:r>
              <w:rPr>
                <w:rFonts w:hint="default" w:ascii="Times New Roman" w:hAnsi="Times New Roman" w:eastAsia="方正仿宋_GBK" w:cs="Times New Roman"/>
                <w:b w:val="0"/>
                <w:bCs w:val="0"/>
                <w:color w:val="000000"/>
                <w:sz w:val="32"/>
                <w:szCs w:val="32"/>
              </w:rPr>
              <w:t>分</w:t>
            </w:r>
            <w:r>
              <w:rPr>
                <w:rFonts w:hint="default" w:ascii="Times New Roman" w:hAnsi="Times New Roman" w:eastAsia="方正仿宋_GBK" w:cs="Times New Roman"/>
                <w:b w:val="0"/>
                <w:bCs w:val="0"/>
                <w:color w:val="000000"/>
                <w:sz w:val="32"/>
                <w:szCs w:val="32"/>
              </w:rPr>
              <w:tab/>
            </w:r>
          </w:p>
        </w:tc>
        <w:tc>
          <w:tcPr>
            <w:tcW w:w="1704" w:type="dxa"/>
          </w:tcPr>
          <w:p w14:paraId="3A67E447">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 xml:space="preserve"> </w:t>
            </w:r>
            <w:r>
              <w:rPr>
                <w:rFonts w:hint="eastAsia" w:ascii="Times New Roman" w:hAnsi="Times New Roman" w:eastAsia="方正仿宋_GBK" w:cs="Times New Roman"/>
                <w:b w:val="0"/>
                <w:bCs w:val="0"/>
                <w:color w:val="000000"/>
                <w:sz w:val="32"/>
                <w:szCs w:val="32"/>
                <w:lang w:val="en-US" w:eastAsia="zh-CN"/>
              </w:rPr>
              <w:t>24</w:t>
            </w:r>
            <w:r>
              <w:rPr>
                <w:rFonts w:hint="default" w:ascii="Times New Roman" w:hAnsi="Times New Roman" w:eastAsia="方正仿宋_GBK" w:cs="Times New Roman"/>
                <w:b w:val="0"/>
                <w:bCs w:val="0"/>
                <w:color w:val="000000"/>
                <w:sz w:val="32"/>
                <w:szCs w:val="32"/>
              </w:rPr>
              <w:t>分</w:t>
            </w:r>
          </w:p>
        </w:tc>
        <w:tc>
          <w:tcPr>
            <w:tcW w:w="1705" w:type="dxa"/>
          </w:tcPr>
          <w:p w14:paraId="1036E722">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 xml:space="preserve"> </w:t>
            </w:r>
            <w:r>
              <w:rPr>
                <w:rFonts w:hint="eastAsia" w:ascii="Times New Roman" w:hAnsi="Times New Roman" w:eastAsia="方正仿宋_GBK" w:cs="Times New Roman"/>
                <w:b w:val="0"/>
                <w:bCs w:val="0"/>
                <w:color w:val="000000"/>
                <w:sz w:val="32"/>
                <w:szCs w:val="32"/>
                <w:lang w:val="en-US" w:eastAsia="zh-CN"/>
              </w:rPr>
              <w:t>30</w:t>
            </w:r>
            <w:r>
              <w:rPr>
                <w:rFonts w:hint="default" w:ascii="Times New Roman" w:hAnsi="Times New Roman" w:eastAsia="方正仿宋_GBK" w:cs="Times New Roman"/>
                <w:b w:val="0"/>
                <w:bCs w:val="0"/>
                <w:color w:val="000000"/>
                <w:sz w:val="32"/>
                <w:szCs w:val="32"/>
              </w:rPr>
              <w:t>分</w:t>
            </w:r>
          </w:p>
        </w:tc>
        <w:tc>
          <w:tcPr>
            <w:tcW w:w="1705" w:type="dxa"/>
          </w:tcPr>
          <w:p w14:paraId="217A2B1C">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100 分</w:t>
            </w:r>
          </w:p>
          <w:p w14:paraId="6E4E9A2D">
            <w:pPr>
              <w:pStyle w:val="31"/>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p>
        </w:tc>
      </w:tr>
    </w:tbl>
    <w:p w14:paraId="1D668E7A">
      <w:pPr>
        <w:pStyle w:val="31"/>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p>
    <w:tbl>
      <w:tblPr>
        <w:tblStyle w:val="13"/>
        <w:tblW w:w="102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0"/>
        <w:gridCol w:w="1730"/>
        <w:gridCol w:w="5902"/>
        <w:gridCol w:w="939"/>
        <w:gridCol w:w="928"/>
      </w:tblGrid>
      <w:tr w14:paraId="09166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80" w:type="dxa"/>
            <w:vAlign w:val="center"/>
          </w:tcPr>
          <w:p w14:paraId="559FB73D">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b/>
                <w:color w:val="auto"/>
                <w:sz w:val="24"/>
                <w:szCs w:val="24"/>
              </w:rPr>
            </w:pPr>
            <w:bookmarkStart w:id="0" w:name="敏感词检测_综合评分表_1"/>
            <w:bookmarkStart w:id="1" w:name="方案_综合评分表_1"/>
            <w:r>
              <w:rPr>
                <w:rFonts w:hint="eastAsia" w:ascii="宋体" w:hAnsi="宋体" w:eastAsia="宋体" w:cs="宋体"/>
                <w:b/>
                <w:color w:val="auto"/>
                <w:sz w:val="24"/>
                <w:szCs w:val="24"/>
              </w:rPr>
              <w:t>序号</w:t>
            </w:r>
          </w:p>
        </w:tc>
        <w:tc>
          <w:tcPr>
            <w:tcW w:w="1730" w:type="dxa"/>
            <w:vAlign w:val="center"/>
          </w:tcPr>
          <w:p w14:paraId="5B4C73F4">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评审因素</w:t>
            </w:r>
          </w:p>
        </w:tc>
        <w:tc>
          <w:tcPr>
            <w:tcW w:w="5902" w:type="dxa"/>
            <w:vAlign w:val="center"/>
          </w:tcPr>
          <w:p w14:paraId="44D01418">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评分细则</w:t>
            </w:r>
          </w:p>
        </w:tc>
        <w:tc>
          <w:tcPr>
            <w:tcW w:w="939" w:type="dxa"/>
            <w:vAlign w:val="center"/>
          </w:tcPr>
          <w:p w14:paraId="2CDA4933">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分值（分）</w:t>
            </w:r>
          </w:p>
        </w:tc>
        <w:tc>
          <w:tcPr>
            <w:tcW w:w="928" w:type="dxa"/>
            <w:vAlign w:val="center"/>
          </w:tcPr>
          <w:p w14:paraId="30EC4264">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权重（%）</w:t>
            </w:r>
          </w:p>
        </w:tc>
      </w:tr>
      <w:tr w14:paraId="083FF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780" w:type="dxa"/>
            <w:vAlign w:val="center"/>
          </w:tcPr>
          <w:p w14:paraId="1F485F86">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p>
        </w:tc>
        <w:tc>
          <w:tcPr>
            <w:tcW w:w="9499" w:type="dxa"/>
            <w:gridSpan w:val="4"/>
            <w:vAlign w:val="center"/>
          </w:tcPr>
          <w:p w14:paraId="29CFA672">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技术部分（合计</w:t>
            </w:r>
            <w:r>
              <w:rPr>
                <w:rFonts w:hint="eastAsia" w:ascii="宋体" w:hAnsi="宋体" w:eastAsia="宋体" w:cs="宋体"/>
                <w:b/>
                <w:color w:val="auto"/>
                <w:sz w:val="24"/>
                <w:szCs w:val="24"/>
                <w:lang w:val="en-US" w:eastAsia="zh-CN"/>
              </w:rPr>
              <w:t>46</w:t>
            </w:r>
            <w:r>
              <w:rPr>
                <w:rFonts w:hint="eastAsia" w:ascii="宋体" w:hAnsi="宋体" w:eastAsia="宋体" w:cs="宋体"/>
                <w:b/>
                <w:color w:val="auto"/>
                <w:sz w:val="24"/>
                <w:szCs w:val="24"/>
              </w:rPr>
              <w:t xml:space="preserve">分） </w:t>
            </w:r>
          </w:p>
        </w:tc>
      </w:tr>
      <w:tr w14:paraId="227A5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80" w:type="dxa"/>
            <w:vAlign w:val="center"/>
          </w:tcPr>
          <w:p w14:paraId="226AA91E">
            <w:pPr>
              <w:pStyle w:val="29"/>
              <w:keepNext w:val="0"/>
              <w:keepLines w:val="0"/>
              <w:pageBreakBefore w:val="0"/>
              <w:numPr>
                <w:ilvl w:val="0"/>
                <w:numId w:val="1"/>
              </w:numPr>
              <w:kinsoku/>
              <w:wordWrap/>
              <w:overflowPunct/>
              <w:topLinePunct w:val="0"/>
              <w:bidi w:val="0"/>
              <w:snapToGrid w:val="0"/>
              <w:spacing w:line="276" w:lineRule="auto"/>
              <w:ind w:left="1" w:leftChars="-95" w:right="0" w:rightChars="0" w:hanging="200" w:firstLineChars="0"/>
              <w:jc w:val="center"/>
              <w:textAlignment w:val="auto"/>
              <w:rPr>
                <w:rFonts w:hint="eastAsia" w:ascii="宋体" w:hAnsi="宋体" w:eastAsia="宋体" w:cs="宋体"/>
                <w:color w:val="auto"/>
                <w:sz w:val="24"/>
                <w:szCs w:val="24"/>
              </w:rPr>
            </w:pPr>
            <w:bookmarkStart w:id="2" w:name="回填数据_技术评分_评审规则_1" w:colFirst="2" w:colLast="2"/>
            <w:bookmarkStart w:id="3" w:name="回填数据_技术评分_评审项目_1" w:colFirst="1" w:colLast="1"/>
            <w:bookmarkStart w:id="4" w:name="回填数据_技术评分_标准分值_1" w:colFirst="3" w:colLast="3"/>
            <w:bookmarkStart w:id="5" w:name="回填数据_技术评分_序号_自动生成_1" w:colFirst="0" w:colLast="0"/>
            <w:bookmarkStart w:id="6" w:name="回填数据_技术评分_权重_1" w:colFirst="4" w:colLast="4"/>
          </w:p>
        </w:tc>
        <w:tc>
          <w:tcPr>
            <w:tcW w:w="1730" w:type="dxa"/>
            <w:vAlign w:val="center"/>
          </w:tcPr>
          <w:p w14:paraId="4D649984">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质量保障措施</w:t>
            </w:r>
          </w:p>
        </w:tc>
        <w:tc>
          <w:tcPr>
            <w:tcW w:w="5902" w:type="dxa"/>
            <w:vAlign w:val="center"/>
          </w:tcPr>
          <w:p w14:paraId="578BCB12">
            <w:pPr>
              <w:keepNext w:val="0"/>
              <w:keepLines w:val="0"/>
              <w:pageBreakBefore w:val="0"/>
              <w:numPr>
                <w:ilvl w:val="0"/>
                <w:numId w:val="0"/>
              </w:numPr>
              <w:kinsoku/>
              <w:wordWrap/>
              <w:overflowPunct/>
              <w:topLinePunct w:val="0"/>
              <w:bidi w:val="0"/>
              <w:snapToGrid w:val="0"/>
              <w:spacing w:line="276" w:lineRule="auto"/>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根据“项目</w:t>
            </w:r>
            <w:r>
              <w:rPr>
                <w:rFonts w:hint="eastAsia" w:ascii="宋体" w:hAnsi="宋体" w:eastAsia="宋体" w:cs="宋体"/>
                <w:color w:val="auto"/>
                <w:sz w:val="24"/>
                <w:szCs w:val="24"/>
                <w:lang w:val="en-US" w:eastAsia="zh-CN"/>
              </w:rPr>
              <w:t>内容</w:t>
            </w:r>
            <w:r>
              <w:rPr>
                <w:rFonts w:hint="eastAsia" w:ascii="宋体" w:hAnsi="宋体" w:eastAsia="宋体" w:cs="宋体"/>
                <w:color w:val="auto"/>
                <w:sz w:val="24"/>
                <w:szCs w:val="24"/>
              </w:rPr>
              <w:t>”，供应商针对本项目制定的质量保证方案</w:t>
            </w:r>
            <w:r>
              <w:rPr>
                <w:rFonts w:hint="eastAsia" w:ascii="宋体" w:hAnsi="宋体" w:eastAsia="宋体" w:cs="宋体"/>
                <w:color w:val="auto"/>
                <w:sz w:val="24"/>
                <w:szCs w:val="24"/>
                <w:lang w:eastAsia="zh-CN"/>
              </w:rPr>
              <w:t>（包括</w:t>
            </w:r>
            <w:r>
              <w:rPr>
                <w:rFonts w:hint="eastAsia" w:ascii="宋体" w:hAnsi="宋体" w:eastAsia="宋体" w:cs="宋体"/>
                <w:color w:val="auto"/>
                <w:sz w:val="24"/>
                <w:szCs w:val="24"/>
                <w:lang w:val="en-US" w:eastAsia="zh-CN"/>
              </w:rPr>
              <w:t>但不限于</w:t>
            </w:r>
            <w:r>
              <w:rPr>
                <w:rFonts w:hint="eastAsia" w:ascii="宋体" w:hAnsi="宋体" w:eastAsia="宋体" w:cs="宋体"/>
                <w:color w:val="auto"/>
                <w:sz w:val="24"/>
                <w:szCs w:val="24"/>
                <w:lang w:eastAsia="zh-CN"/>
              </w:rPr>
              <w:t>工程质量管理方案，材料质量控制措施，质保期服务方案）</w:t>
            </w:r>
            <w:r>
              <w:rPr>
                <w:rFonts w:hint="eastAsia" w:ascii="宋体" w:hAnsi="宋体" w:eastAsia="宋体" w:cs="宋体"/>
                <w:color w:val="auto"/>
                <w:sz w:val="24"/>
                <w:szCs w:val="24"/>
              </w:rPr>
              <w:t>：1.方案完全满足且优于采购需求，得</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 2.方案完全满足采购需求，得</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 3.方案不能完全满足采购需求，得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 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未提供方案，得0分。</w:t>
            </w:r>
          </w:p>
        </w:tc>
        <w:tc>
          <w:tcPr>
            <w:tcW w:w="939" w:type="dxa"/>
            <w:vAlign w:val="center"/>
          </w:tcPr>
          <w:p w14:paraId="4CCB84B3">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default" w:ascii="宋体" w:hAnsi="宋体" w:eastAsia="宋体" w:cs="宋体"/>
                <w:bCs/>
                <w:color w:val="auto"/>
                <w:sz w:val="24"/>
                <w:szCs w:val="24"/>
                <w:lang w:val="en-US"/>
              </w:rPr>
            </w:pPr>
            <w:r>
              <w:rPr>
                <w:rFonts w:hint="eastAsia" w:ascii="宋体" w:hAnsi="宋体" w:cs="宋体"/>
                <w:color w:val="auto"/>
                <w:sz w:val="24"/>
                <w:szCs w:val="24"/>
                <w:lang w:val="en-US" w:eastAsia="zh-CN"/>
              </w:rPr>
              <w:t>20</w:t>
            </w:r>
          </w:p>
        </w:tc>
        <w:tc>
          <w:tcPr>
            <w:tcW w:w="928" w:type="dxa"/>
            <w:vAlign w:val="center"/>
          </w:tcPr>
          <w:p w14:paraId="66C3A148">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20</w:t>
            </w:r>
          </w:p>
        </w:tc>
      </w:tr>
      <w:tr w14:paraId="2859F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780" w:type="dxa"/>
            <w:vAlign w:val="center"/>
          </w:tcPr>
          <w:p w14:paraId="3D0C0F6E">
            <w:pPr>
              <w:pStyle w:val="29"/>
              <w:keepNext w:val="0"/>
              <w:keepLines w:val="0"/>
              <w:pageBreakBefore w:val="0"/>
              <w:numPr>
                <w:ilvl w:val="0"/>
                <w:numId w:val="1"/>
              </w:numPr>
              <w:kinsoku/>
              <w:wordWrap/>
              <w:overflowPunct/>
              <w:topLinePunct w:val="0"/>
              <w:bidi w:val="0"/>
              <w:snapToGrid w:val="0"/>
              <w:spacing w:line="276" w:lineRule="auto"/>
              <w:ind w:left="1" w:leftChars="-95" w:right="0" w:rightChars="0" w:hanging="200" w:firstLineChars="0"/>
              <w:jc w:val="center"/>
              <w:textAlignment w:val="auto"/>
              <w:rPr>
                <w:rFonts w:hint="eastAsia" w:ascii="宋体" w:hAnsi="宋体" w:eastAsia="宋体" w:cs="宋体"/>
                <w:color w:val="auto"/>
                <w:sz w:val="24"/>
                <w:szCs w:val="24"/>
              </w:rPr>
            </w:pPr>
          </w:p>
        </w:tc>
        <w:tc>
          <w:tcPr>
            <w:tcW w:w="1730" w:type="dxa"/>
            <w:vAlign w:val="center"/>
          </w:tcPr>
          <w:p w14:paraId="7C02E08D">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lang w:val="en-US" w:eastAsia="zh-CN"/>
              </w:rPr>
            </w:pPr>
            <w:r>
              <w:rPr>
                <w:rFonts w:hint="eastAsia" w:ascii="宋体" w:hAnsi="宋体" w:eastAsia="宋体" w:cs="宋体"/>
                <w:color w:val="auto"/>
                <w:sz w:val="24"/>
                <w:szCs w:val="24"/>
                <w:lang w:val="en-US" w:eastAsia="zh-CN"/>
              </w:rPr>
              <w:t>维修及时性保证措施</w:t>
            </w:r>
          </w:p>
        </w:tc>
        <w:tc>
          <w:tcPr>
            <w:tcW w:w="5902" w:type="dxa"/>
            <w:vAlign w:val="center"/>
          </w:tcPr>
          <w:p w14:paraId="083EE965">
            <w:pPr>
              <w:keepNext w:val="0"/>
              <w:keepLines w:val="0"/>
              <w:pageBreakBefore w:val="0"/>
              <w:kinsoku/>
              <w:wordWrap/>
              <w:overflowPunct/>
              <w:topLinePunct w:val="0"/>
              <w:bidi w:val="0"/>
              <w:snapToGrid w:val="0"/>
              <w:spacing w:line="276" w:lineRule="auto"/>
              <w:ind w:left="0" w:leftChars="0" w:right="0" w:righ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w:t>
            </w:r>
            <w:r>
              <w:rPr>
                <w:rFonts w:hint="eastAsia" w:ascii="宋体" w:hAnsi="宋体" w:eastAsia="宋体" w:cs="宋体"/>
                <w:color w:val="auto"/>
                <w:sz w:val="24"/>
                <w:szCs w:val="24"/>
                <w:lang w:val="en-US" w:eastAsia="zh-CN"/>
              </w:rPr>
              <w:t>工程要求7</w:t>
            </w:r>
            <w:r>
              <w:rPr>
                <w:rFonts w:hint="eastAsia" w:ascii="宋体" w:hAnsi="宋体" w:eastAsia="宋体" w:cs="宋体"/>
                <w:color w:val="auto"/>
                <w:sz w:val="24"/>
                <w:szCs w:val="24"/>
                <w:lang w:eastAsia="zh-CN"/>
              </w:rPr>
              <w:t>、维修及时性</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lang w:eastAsia="zh-CN"/>
              </w:rPr>
              <w:t>”，供应商针对本项目制定的维修及时性保证方案：1.方案完全满足且优于采购需求，得</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分； 2.方案完全满足采购需求，得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分； 3.方案不能完全满足采购需求，得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分； 4.未提供方案，得0分</w:t>
            </w:r>
          </w:p>
        </w:tc>
        <w:tc>
          <w:tcPr>
            <w:tcW w:w="939" w:type="dxa"/>
            <w:vAlign w:val="center"/>
          </w:tcPr>
          <w:p w14:paraId="0FC1DC02">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928" w:type="dxa"/>
            <w:vAlign w:val="center"/>
          </w:tcPr>
          <w:p w14:paraId="48715FED">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r>
      <w:tr w14:paraId="7A7C8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780" w:type="dxa"/>
            <w:vAlign w:val="center"/>
          </w:tcPr>
          <w:p w14:paraId="158BD52F">
            <w:pPr>
              <w:pStyle w:val="29"/>
              <w:keepNext w:val="0"/>
              <w:keepLines w:val="0"/>
              <w:pageBreakBefore w:val="0"/>
              <w:numPr>
                <w:ilvl w:val="0"/>
                <w:numId w:val="1"/>
              </w:numPr>
              <w:kinsoku/>
              <w:wordWrap/>
              <w:overflowPunct/>
              <w:topLinePunct w:val="0"/>
              <w:bidi w:val="0"/>
              <w:snapToGrid w:val="0"/>
              <w:spacing w:line="276" w:lineRule="auto"/>
              <w:ind w:left="1" w:leftChars="-95" w:right="0" w:rightChars="0" w:hanging="200" w:firstLineChars="0"/>
              <w:jc w:val="center"/>
              <w:textAlignment w:val="auto"/>
              <w:rPr>
                <w:rFonts w:hint="eastAsia" w:ascii="宋体" w:hAnsi="宋体" w:eastAsia="宋体" w:cs="宋体"/>
                <w:color w:val="auto"/>
                <w:sz w:val="24"/>
                <w:szCs w:val="24"/>
              </w:rPr>
            </w:pPr>
          </w:p>
        </w:tc>
        <w:tc>
          <w:tcPr>
            <w:tcW w:w="1730" w:type="dxa"/>
            <w:vAlign w:val="center"/>
          </w:tcPr>
          <w:p w14:paraId="0762E4F2">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应急抢修方案</w:t>
            </w:r>
          </w:p>
        </w:tc>
        <w:tc>
          <w:tcPr>
            <w:tcW w:w="5902" w:type="dxa"/>
            <w:vAlign w:val="center"/>
          </w:tcPr>
          <w:p w14:paraId="69B94E0F">
            <w:pPr>
              <w:keepNext w:val="0"/>
              <w:keepLines w:val="0"/>
              <w:pageBreakBefore w:val="0"/>
              <w:numPr>
                <w:ilvl w:val="0"/>
                <w:numId w:val="0"/>
              </w:numPr>
              <w:kinsoku/>
              <w:wordWrap/>
              <w:overflowPunct/>
              <w:topLinePunct w:val="0"/>
              <w:bidi w:val="0"/>
              <w:snapToGrid w:val="0"/>
              <w:spacing w:line="276" w:lineRule="auto"/>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工程要求8</w:t>
            </w:r>
            <w:r>
              <w:rPr>
                <w:rFonts w:hint="eastAsia" w:ascii="宋体" w:hAnsi="宋体" w:eastAsia="宋体" w:cs="宋体"/>
                <w:color w:val="auto"/>
                <w:sz w:val="24"/>
                <w:szCs w:val="24"/>
              </w:rPr>
              <w:t>、应急抢修要求”，供应商针对本项目制定的应急抢修方案： 1.方案完全满足且优于采购需求，得</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分； 2.方案完全满足采购需求，得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 3.方案不能完全满足采购需求，得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 4.未提供方案，得0分。</w:t>
            </w:r>
          </w:p>
        </w:tc>
        <w:tc>
          <w:tcPr>
            <w:tcW w:w="939" w:type="dxa"/>
            <w:vAlign w:val="center"/>
          </w:tcPr>
          <w:p w14:paraId="2CEF52FA">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928" w:type="dxa"/>
            <w:vAlign w:val="center"/>
          </w:tcPr>
          <w:p w14:paraId="0E22E24A">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r>
      <w:tr w14:paraId="4CE2D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780" w:type="dxa"/>
            <w:vAlign w:val="center"/>
          </w:tcPr>
          <w:p w14:paraId="0648E4B7">
            <w:pPr>
              <w:pStyle w:val="29"/>
              <w:keepNext w:val="0"/>
              <w:keepLines w:val="0"/>
              <w:pageBreakBefore w:val="0"/>
              <w:numPr>
                <w:ilvl w:val="0"/>
                <w:numId w:val="1"/>
              </w:numPr>
              <w:kinsoku/>
              <w:wordWrap/>
              <w:overflowPunct/>
              <w:topLinePunct w:val="0"/>
              <w:bidi w:val="0"/>
              <w:snapToGrid w:val="0"/>
              <w:spacing w:line="276" w:lineRule="auto"/>
              <w:ind w:left="1" w:leftChars="-95" w:right="0" w:rightChars="0" w:hanging="200" w:firstLineChars="0"/>
              <w:jc w:val="center"/>
              <w:textAlignment w:val="auto"/>
              <w:rPr>
                <w:rFonts w:hint="eastAsia" w:ascii="宋体" w:hAnsi="宋体" w:eastAsia="宋体" w:cs="宋体"/>
                <w:color w:val="auto"/>
                <w:sz w:val="24"/>
                <w:szCs w:val="24"/>
              </w:rPr>
            </w:pPr>
          </w:p>
        </w:tc>
        <w:tc>
          <w:tcPr>
            <w:tcW w:w="1730" w:type="dxa"/>
            <w:vAlign w:val="center"/>
          </w:tcPr>
          <w:p w14:paraId="3AD52423">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安全及绿色文明施工</w:t>
            </w:r>
          </w:p>
        </w:tc>
        <w:tc>
          <w:tcPr>
            <w:tcW w:w="5902" w:type="dxa"/>
            <w:vAlign w:val="center"/>
          </w:tcPr>
          <w:p w14:paraId="0565E5B6">
            <w:pPr>
              <w:keepNext w:val="0"/>
              <w:keepLines w:val="0"/>
              <w:pageBreakBefore w:val="0"/>
              <w:numPr>
                <w:ilvl w:val="0"/>
                <w:numId w:val="2"/>
              </w:numPr>
              <w:kinsoku/>
              <w:wordWrap/>
              <w:overflowPunct/>
              <w:topLinePunct w:val="0"/>
              <w:bidi w:val="0"/>
              <w:snapToGrid w:val="0"/>
              <w:spacing w:line="276" w:lineRule="auto"/>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安</w:t>
            </w:r>
            <w:r>
              <w:rPr>
                <w:rFonts w:hint="eastAsia" w:ascii="宋体" w:hAnsi="宋体" w:eastAsia="宋体" w:cs="宋体"/>
                <w:color w:val="auto"/>
                <w:sz w:val="24"/>
                <w:szCs w:val="24"/>
              </w:rPr>
              <w:t>全及绿色文明施工措施明确、具体、针对性强、可行性强，完全满足或优于采购需求，得8分；</w:t>
            </w:r>
          </w:p>
          <w:p w14:paraId="423FC680">
            <w:pPr>
              <w:keepNext w:val="0"/>
              <w:keepLines w:val="0"/>
              <w:pageBreakBefore w:val="0"/>
              <w:numPr>
                <w:ilvl w:val="0"/>
                <w:numId w:val="2"/>
              </w:numPr>
              <w:kinsoku/>
              <w:wordWrap/>
              <w:overflowPunct/>
              <w:topLinePunct w:val="0"/>
              <w:bidi w:val="0"/>
              <w:snapToGrid w:val="0"/>
              <w:spacing w:line="276" w:lineRule="auto"/>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安全及绿色文明施工措施较明确、针对性较强、</w:t>
            </w:r>
          </w:p>
          <w:p w14:paraId="05F75569">
            <w:pPr>
              <w:keepNext w:val="0"/>
              <w:keepLines w:val="0"/>
              <w:pageBreakBefore w:val="0"/>
              <w:kinsoku/>
              <w:wordWrap/>
              <w:overflowPunct/>
              <w:topLinePunct w:val="0"/>
              <w:bidi w:val="0"/>
              <w:snapToGrid w:val="0"/>
              <w:spacing w:line="276" w:lineRule="auto"/>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可行性较强，基本满足采购需求，得5分； </w:t>
            </w:r>
          </w:p>
          <w:p w14:paraId="73237089">
            <w:pPr>
              <w:keepNext w:val="0"/>
              <w:keepLines w:val="0"/>
              <w:pageBreakBefore w:val="0"/>
              <w:numPr>
                <w:ilvl w:val="0"/>
                <w:numId w:val="2"/>
              </w:numPr>
              <w:kinsoku/>
              <w:wordWrap/>
              <w:overflowPunct/>
              <w:topLinePunct w:val="0"/>
              <w:bidi w:val="0"/>
              <w:snapToGrid w:val="0"/>
              <w:spacing w:line="276" w:lineRule="auto"/>
              <w:ind w:left="0" w:leftChars="0"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安全及绿色文明施工措施针对性不强，不能完全满足采购需求，得2分；</w:t>
            </w:r>
          </w:p>
          <w:p w14:paraId="351A3A84">
            <w:pPr>
              <w:keepNext w:val="0"/>
              <w:keepLines w:val="0"/>
              <w:pageBreakBefore w:val="0"/>
              <w:numPr>
                <w:ilvl w:val="0"/>
                <w:numId w:val="0"/>
              </w:numPr>
              <w:kinsoku/>
              <w:wordWrap/>
              <w:overflowPunct/>
              <w:topLinePunct w:val="0"/>
              <w:bidi w:val="0"/>
              <w:snapToGrid w:val="0"/>
              <w:spacing w:line="276" w:lineRule="auto"/>
              <w:ind w:right="0"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没有提供，得0分。</w:t>
            </w:r>
          </w:p>
        </w:tc>
        <w:tc>
          <w:tcPr>
            <w:tcW w:w="939" w:type="dxa"/>
            <w:vAlign w:val="center"/>
          </w:tcPr>
          <w:p w14:paraId="151A728E">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8</w:t>
            </w:r>
          </w:p>
        </w:tc>
        <w:tc>
          <w:tcPr>
            <w:tcW w:w="928" w:type="dxa"/>
            <w:vAlign w:val="center"/>
          </w:tcPr>
          <w:p w14:paraId="3DAB2B8A">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p>
        </w:tc>
      </w:tr>
      <w:bookmarkEnd w:id="2"/>
      <w:bookmarkEnd w:id="3"/>
      <w:bookmarkEnd w:id="4"/>
      <w:bookmarkEnd w:id="5"/>
      <w:bookmarkEnd w:id="6"/>
      <w:tr w14:paraId="23601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 w:hRule="atLeast"/>
        </w:trPr>
        <w:tc>
          <w:tcPr>
            <w:tcW w:w="780" w:type="dxa"/>
            <w:vAlign w:val="center"/>
          </w:tcPr>
          <w:p w14:paraId="7EE72FA7">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w:t>
            </w:r>
          </w:p>
        </w:tc>
        <w:tc>
          <w:tcPr>
            <w:tcW w:w="9499" w:type="dxa"/>
            <w:gridSpan w:val="4"/>
            <w:vAlign w:val="center"/>
          </w:tcPr>
          <w:p w14:paraId="1F9796A0">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商务部分（合计</w:t>
            </w:r>
            <w:r>
              <w:rPr>
                <w:rFonts w:hint="eastAsia" w:ascii="宋体" w:hAnsi="宋体" w:eastAsia="宋体" w:cs="宋体"/>
                <w:b/>
                <w:color w:val="auto"/>
                <w:sz w:val="24"/>
                <w:szCs w:val="24"/>
                <w:lang w:val="en-US" w:eastAsia="zh-CN"/>
              </w:rPr>
              <w:t>24</w:t>
            </w:r>
            <w:r>
              <w:rPr>
                <w:rFonts w:hint="eastAsia" w:ascii="宋体" w:hAnsi="宋体" w:eastAsia="宋体" w:cs="宋体"/>
                <w:b/>
                <w:color w:val="auto"/>
                <w:sz w:val="24"/>
                <w:szCs w:val="24"/>
              </w:rPr>
              <w:t xml:space="preserve">分） </w:t>
            </w:r>
          </w:p>
        </w:tc>
      </w:tr>
      <w:tr w14:paraId="419EA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80" w:type="dxa"/>
            <w:vAlign w:val="center"/>
          </w:tcPr>
          <w:p w14:paraId="4F474D9A">
            <w:pPr>
              <w:pStyle w:val="29"/>
              <w:keepNext w:val="0"/>
              <w:keepLines w:val="0"/>
              <w:pageBreakBefore w:val="0"/>
              <w:numPr>
                <w:ilvl w:val="0"/>
                <w:numId w:val="3"/>
              </w:numPr>
              <w:kinsoku/>
              <w:wordWrap/>
              <w:overflowPunct/>
              <w:topLinePunct w:val="0"/>
              <w:bidi w:val="0"/>
              <w:snapToGrid w:val="0"/>
              <w:spacing w:line="276" w:lineRule="auto"/>
              <w:ind w:left="1" w:leftChars="-95" w:right="0" w:rightChars="0" w:hanging="200" w:firstLineChars="0"/>
              <w:jc w:val="center"/>
              <w:textAlignment w:val="auto"/>
              <w:rPr>
                <w:rFonts w:hint="eastAsia" w:ascii="宋体" w:hAnsi="宋体" w:eastAsia="宋体" w:cs="宋体"/>
                <w:color w:val="auto"/>
                <w:sz w:val="24"/>
                <w:szCs w:val="24"/>
              </w:rPr>
            </w:pPr>
            <w:bookmarkStart w:id="7" w:name="回填数据_商务评分_权重_1" w:colFirst="4" w:colLast="4"/>
            <w:bookmarkStart w:id="8" w:name="回填数据_商务评分_评审项目_1" w:colFirst="1" w:colLast="1"/>
            <w:bookmarkStart w:id="9" w:name="回填数据_商务评分_标准分值_1" w:colFirst="3" w:colLast="3"/>
            <w:bookmarkStart w:id="10" w:name="回填数据_商务评分_评审规则_1" w:colFirst="2" w:colLast="2"/>
            <w:bookmarkStart w:id="11" w:name="回填数据_商务评分_序号_自动生成_1" w:colFirst="0" w:colLast="0"/>
          </w:p>
        </w:tc>
        <w:tc>
          <w:tcPr>
            <w:tcW w:w="1730" w:type="dxa"/>
            <w:vAlign w:val="center"/>
          </w:tcPr>
          <w:p w14:paraId="5DA72571">
            <w:pPr>
              <w:keepNext w:val="0"/>
              <w:keepLines w:val="0"/>
              <w:pageBreakBefore w:val="0"/>
              <w:kinsoku/>
              <w:wordWrap/>
              <w:overflowPunct/>
              <w:topLinePunct w:val="0"/>
              <w:bidi w:val="0"/>
              <w:spacing w:line="276"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人员情况</w:t>
            </w:r>
          </w:p>
        </w:tc>
        <w:tc>
          <w:tcPr>
            <w:tcW w:w="5902" w:type="dxa"/>
            <w:vAlign w:val="top"/>
          </w:tcPr>
          <w:p w14:paraId="35C84CEB">
            <w:pPr>
              <w:keepNext w:val="0"/>
              <w:keepLines w:val="0"/>
              <w:pageBreakBefore w:val="0"/>
              <w:kinsoku/>
              <w:wordWrap/>
              <w:overflowPunct/>
              <w:topLinePunct w:val="0"/>
              <w:bidi w:val="0"/>
              <w:spacing w:line="276" w:lineRule="auto"/>
              <w:ind w:left="0" w:leftChars="0" w:right="0" w:right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拟派施工管理机构</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大员应齐全(</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大员是指资料员、质量员、施工员、材料员，不能一人兼多职)，以上</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大员齐全的得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大员中每缺少一人扣1分。</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必须提供人员在</w:t>
            </w:r>
            <w:r>
              <w:rPr>
                <w:rFonts w:hint="eastAsia" w:ascii="宋体" w:hAnsi="宋体" w:eastAsia="宋体" w:cs="宋体"/>
                <w:color w:val="auto"/>
                <w:sz w:val="24"/>
                <w:szCs w:val="24"/>
                <w:lang w:val="en-US" w:eastAsia="zh-CN"/>
              </w:rPr>
              <w:t>报名</w:t>
            </w:r>
            <w:r>
              <w:rPr>
                <w:rFonts w:hint="eastAsia" w:ascii="宋体" w:hAnsi="宋体" w:eastAsia="宋体" w:cs="宋体"/>
                <w:color w:val="auto"/>
                <w:sz w:val="24"/>
                <w:szCs w:val="24"/>
              </w:rPr>
              <w:t>截止日前6个月内任意</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个月（2025年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月-202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rPr>
              <w:t>的社保证明、</w:t>
            </w:r>
            <w:r>
              <w:rPr>
                <w:rFonts w:hint="eastAsia" w:ascii="宋体" w:hAnsi="宋体" w:eastAsia="宋体" w:cs="宋体"/>
                <w:color w:val="auto"/>
                <w:sz w:val="24"/>
                <w:szCs w:val="24"/>
                <w:lang w:val="en-US" w:eastAsia="zh-CN"/>
              </w:rPr>
              <w:t>人员清单</w:t>
            </w:r>
            <w:r>
              <w:rPr>
                <w:rFonts w:hint="eastAsia" w:ascii="宋体" w:hAnsi="宋体" w:eastAsia="宋体" w:cs="宋体"/>
                <w:color w:val="auto"/>
                <w:sz w:val="24"/>
                <w:szCs w:val="24"/>
              </w:rPr>
              <w:t>并加盖公章，不提供不得分。</w:t>
            </w:r>
          </w:p>
        </w:tc>
        <w:tc>
          <w:tcPr>
            <w:tcW w:w="939" w:type="dxa"/>
            <w:vAlign w:val="center"/>
          </w:tcPr>
          <w:p w14:paraId="1B743327">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p>
        </w:tc>
        <w:tc>
          <w:tcPr>
            <w:tcW w:w="928" w:type="dxa"/>
            <w:vAlign w:val="center"/>
          </w:tcPr>
          <w:p w14:paraId="0781F336">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p>
        </w:tc>
      </w:tr>
      <w:tr w14:paraId="4204C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80" w:type="dxa"/>
            <w:vAlign w:val="center"/>
          </w:tcPr>
          <w:p w14:paraId="2184F899">
            <w:pPr>
              <w:pStyle w:val="29"/>
              <w:keepNext w:val="0"/>
              <w:keepLines w:val="0"/>
              <w:pageBreakBefore w:val="0"/>
              <w:numPr>
                <w:ilvl w:val="0"/>
                <w:numId w:val="3"/>
              </w:numPr>
              <w:kinsoku/>
              <w:wordWrap/>
              <w:overflowPunct/>
              <w:topLinePunct w:val="0"/>
              <w:bidi w:val="0"/>
              <w:snapToGrid w:val="0"/>
              <w:spacing w:line="276" w:lineRule="auto"/>
              <w:ind w:left="1" w:leftChars="-95" w:right="0" w:rightChars="0" w:hanging="200" w:firstLineChars="0"/>
              <w:jc w:val="center"/>
              <w:textAlignment w:val="auto"/>
              <w:rPr>
                <w:rFonts w:hint="eastAsia" w:ascii="宋体" w:hAnsi="宋体" w:eastAsia="宋体" w:cs="宋体"/>
                <w:color w:val="auto"/>
                <w:sz w:val="24"/>
                <w:szCs w:val="24"/>
              </w:rPr>
            </w:pPr>
          </w:p>
        </w:tc>
        <w:tc>
          <w:tcPr>
            <w:tcW w:w="1730" w:type="dxa"/>
            <w:vAlign w:val="center"/>
          </w:tcPr>
          <w:p w14:paraId="54B83940">
            <w:pPr>
              <w:keepNext w:val="0"/>
              <w:keepLines w:val="0"/>
              <w:pageBreakBefore w:val="0"/>
              <w:kinsoku/>
              <w:wordWrap/>
              <w:overflowPunct/>
              <w:topLinePunct w:val="0"/>
              <w:bidi w:val="0"/>
              <w:spacing w:line="276"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经营业绩</w:t>
            </w:r>
          </w:p>
        </w:tc>
        <w:tc>
          <w:tcPr>
            <w:tcW w:w="5902" w:type="dxa"/>
            <w:vAlign w:val="top"/>
          </w:tcPr>
          <w:p w14:paraId="5D073BEF">
            <w:pPr>
              <w:widowControl/>
              <w:snapToGrid w:val="0"/>
              <w:spacing w:line="276" w:lineRule="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供应商承接类似项目情况，每提供一项得3分，本项最高得分15分。</w:t>
            </w:r>
          </w:p>
          <w:p w14:paraId="3D21E8A1">
            <w:pPr>
              <w:widowControl/>
              <w:snapToGrid w:val="0"/>
              <w:spacing w:line="276" w:lineRule="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注：供应商应在报价文件中提供</w:t>
            </w:r>
            <w:r>
              <w:rPr>
                <w:rFonts w:hint="eastAsia" w:ascii="宋体" w:hAnsi="宋体" w:cs="宋体"/>
                <w:bCs/>
                <w:color w:val="auto"/>
                <w:sz w:val="24"/>
                <w:szCs w:val="24"/>
                <w:lang w:val="zh-TW" w:eastAsia="zh-TW"/>
              </w:rPr>
              <w:t>合同关键页（含签订合同双方的单位名称</w:t>
            </w:r>
            <w:r>
              <w:rPr>
                <w:rFonts w:hint="eastAsia" w:ascii="宋体" w:hAnsi="宋体" w:eastAsia="宋体" w:cs="宋体"/>
                <w:color w:val="auto"/>
                <w:sz w:val="24"/>
                <w:szCs w:val="24"/>
                <w:lang w:val="zh-TW" w:eastAsia="zh-TW"/>
              </w:rPr>
              <w:t>、合同项目名称与含签订合同双方的落款盖章、签订日期的关键页）复印件</w:t>
            </w:r>
            <w:r>
              <w:rPr>
                <w:rFonts w:hint="eastAsia" w:ascii="宋体" w:hAnsi="宋体" w:eastAsia="宋体" w:cs="宋体"/>
                <w:color w:val="auto"/>
                <w:sz w:val="24"/>
                <w:szCs w:val="24"/>
              </w:rPr>
              <w:t>并加盖公章，不提供不得分。同一项目不得重复计分。</w:t>
            </w:r>
          </w:p>
        </w:tc>
        <w:tc>
          <w:tcPr>
            <w:tcW w:w="939" w:type="dxa"/>
            <w:vAlign w:val="center"/>
          </w:tcPr>
          <w:p w14:paraId="50CB2A33">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928" w:type="dxa"/>
            <w:vAlign w:val="center"/>
          </w:tcPr>
          <w:p w14:paraId="54C69B7B">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r>
      <w:tr w14:paraId="21545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80" w:type="dxa"/>
            <w:vAlign w:val="center"/>
          </w:tcPr>
          <w:p w14:paraId="0617233E">
            <w:pPr>
              <w:pStyle w:val="29"/>
              <w:keepNext w:val="0"/>
              <w:keepLines w:val="0"/>
              <w:pageBreakBefore w:val="0"/>
              <w:numPr>
                <w:ilvl w:val="0"/>
                <w:numId w:val="3"/>
              </w:numPr>
              <w:kinsoku/>
              <w:wordWrap/>
              <w:overflowPunct/>
              <w:topLinePunct w:val="0"/>
              <w:bidi w:val="0"/>
              <w:snapToGrid w:val="0"/>
              <w:spacing w:line="276" w:lineRule="auto"/>
              <w:ind w:left="1" w:leftChars="-95" w:right="0" w:rightChars="0" w:hanging="200" w:firstLineChars="0"/>
              <w:jc w:val="center"/>
              <w:textAlignment w:val="auto"/>
              <w:rPr>
                <w:rFonts w:hint="eastAsia" w:ascii="宋体" w:hAnsi="宋体" w:eastAsia="宋体" w:cs="宋体"/>
                <w:color w:val="auto"/>
                <w:sz w:val="24"/>
                <w:szCs w:val="24"/>
              </w:rPr>
            </w:pPr>
          </w:p>
        </w:tc>
        <w:tc>
          <w:tcPr>
            <w:tcW w:w="1730" w:type="dxa"/>
            <w:vAlign w:val="center"/>
          </w:tcPr>
          <w:p w14:paraId="4C0364C1">
            <w:pPr>
              <w:keepNext w:val="0"/>
              <w:keepLines w:val="0"/>
              <w:pageBreakBefore w:val="0"/>
              <w:kinsoku/>
              <w:wordWrap/>
              <w:overflowPunct/>
              <w:topLinePunct w:val="0"/>
              <w:bidi w:val="0"/>
              <w:spacing w:line="276" w:lineRule="auto"/>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客户评价</w:t>
            </w:r>
          </w:p>
        </w:tc>
        <w:tc>
          <w:tcPr>
            <w:tcW w:w="5902" w:type="dxa"/>
            <w:vAlign w:val="top"/>
          </w:tcPr>
          <w:p w14:paraId="455F5178">
            <w:pPr>
              <w:widowControl/>
              <w:snapToGrid w:val="0"/>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根据供应商提供的有效业绩项目（必须为上述“类似项目业绩”中的有效计分业绩），客户考核评价为正面评价（优、优良、优秀、满意或相当于类似评价）的，每提供一份得1分，本项最高得5分。注：1、提供合同甲方或甲方项目主管部门盖章的评价文件，不提供不得分。2、同一服务对象（业主）项目不重复计分。</w:t>
            </w:r>
          </w:p>
        </w:tc>
        <w:tc>
          <w:tcPr>
            <w:tcW w:w="939" w:type="dxa"/>
            <w:vAlign w:val="center"/>
          </w:tcPr>
          <w:p w14:paraId="57582B72">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p>
        </w:tc>
        <w:tc>
          <w:tcPr>
            <w:tcW w:w="928" w:type="dxa"/>
            <w:vAlign w:val="center"/>
          </w:tcPr>
          <w:p w14:paraId="40937D3D">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r>
      <w:bookmarkEnd w:id="7"/>
      <w:bookmarkEnd w:id="8"/>
      <w:bookmarkEnd w:id="9"/>
      <w:bookmarkEnd w:id="10"/>
      <w:bookmarkEnd w:id="11"/>
      <w:tr w14:paraId="45F01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780" w:type="dxa"/>
            <w:vAlign w:val="center"/>
          </w:tcPr>
          <w:p w14:paraId="6887A1BE">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w:t>
            </w:r>
          </w:p>
        </w:tc>
        <w:tc>
          <w:tcPr>
            <w:tcW w:w="9499" w:type="dxa"/>
            <w:gridSpan w:val="4"/>
            <w:vAlign w:val="center"/>
          </w:tcPr>
          <w:p w14:paraId="7A29CE0B">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b/>
                <w:bCs/>
                <w:color w:val="auto"/>
                <w:sz w:val="24"/>
                <w:szCs w:val="24"/>
                <w:shd w:val="pct10" w:color="auto" w:fill="FFFFFF"/>
              </w:rPr>
            </w:pPr>
            <w:r>
              <w:rPr>
                <w:rFonts w:hint="eastAsia" w:ascii="宋体" w:hAnsi="宋体" w:eastAsia="宋体" w:cs="宋体"/>
                <w:b/>
                <w:color w:val="auto"/>
                <w:sz w:val="24"/>
                <w:szCs w:val="24"/>
              </w:rPr>
              <w:t>价格部分（合计</w:t>
            </w:r>
            <w:r>
              <w:rPr>
                <w:rFonts w:hint="eastAsia" w:ascii="宋体" w:hAnsi="宋体" w:eastAsia="宋体" w:cs="宋体"/>
                <w:b/>
                <w:color w:val="auto"/>
                <w:sz w:val="24"/>
                <w:szCs w:val="24"/>
                <w:lang w:val="en-US" w:eastAsia="zh-CN"/>
              </w:rPr>
              <w:t>30</w:t>
            </w:r>
            <w:r>
              <w:rPr>
                <w:rFonts w:hint="eastAsia" w:ascii="宋体" w:hAnsi="宋体" w:eastAsia="宋体" w:cs="宋体"/>
                <w:b/>
                <w:color w:val="auto"/>
                <w:sz w:val="24"/>
                <w:szCs w:val="24"/>
              </w:rPr>
              <w:t>分）</w:t>
            </w:r>
          </w:p>
        </w:tc>
      </w:tr>
      <w:tr w14:paraId="119A1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80" w:type="dxa"/>
            <w:vAlign w:val="center"/>
          </w:tcPr>
          <w:p w14:paraId="1EE67AF1">
            <w:pPr>
              <w:pStyle w:val="29"/>
              <w:keepNext w:val="0"/>
              <w:keepLines w:val="0"/>
              <w:pageBreakBefore w:val="0"/>
              <w:numPr>
                <w:ilvl w:val="0"/>
                <w:numId w:val="0"/>
              </w:numPr>
              <w:kinsoku/>
              <w:wordWrap/>
              <w:overflowPunct/>
              <w:topLinePunct w:val="0"/>
              <w:bidi w:val="0"/>
              <w:snapToGrid w:val="0"/>
              <w:spacing w:line="276" w:lineRule="auto"/>
              <w:ind w:leftChars="-95" w:right="0" w:rightChars="0"/>
              <w:jc w:val="both"/>
              <w:textAlignment w:val="auto"/>
              <w:rPr>
                <w:rFonts w:hint="eastAsia" w:ascii="宋体" w:hAnsi="宋体" w:eastAsia="宋体" w:cs="宋体"/>
                <w:color w:val="auto"/>
                <w:sz w:val="24"/>
                <w:szCs w:val="24"/>
              </w:rPr>
            </w:pPr>
            <w:bookmarkStart w:id="12" w:name="回填数据_价格评分_权重_1" w:colFirst="4" w:colLast="4"/>
            <w:bookmarkStart w:id="13" w:name="回填数据_价格评分_标准分值_1" w:colFirst="3" w:colLast="3"/>
          </w:p>
        </w:tc>
        <w:tc>
          <w:tcPr>
            <w:tcW w:w="1730" w:type="dxa"/>
            <w:vAlign w:val="center"/>
          </w:tcPr>
          <w:p w14:paraId="32E60978">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报价得分 </w:t>
            </w:r>
          </w:p>
        </w:tc>
        <w:tc>
          <w:tcPr>
            <w:tcW w:w="5902" w:type="dxa"/>
            <w:vAlign w:val="center"/>
          </w:tcPr>
          <w:p w14:paraId="702B32F6">
            <w:pPr>
              <w:widowControl/>
              <w:snapToGrid w:val="0"/>
              <w:spacing w:line="276" w:lineRule="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投标报价得分＝（评标基准价/计算得出的投标报价）×价格分值（30分）</w:t>
            </w:r>
          </w:p>
          <w:p w14:paraId="649B52DE">
            <w:pPr>
              <w:widowControl/>
              <w:snapToGrid w:val="0"/>
              <w:spacing w:line="276" w:lineRule="auto"/>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注：满足招标文件要求且投标价格最低的投标报价为评标基准价。最低报价不是中标的唯一依据。计算得出的投标报价按四舍五入原则精确到小数点后2位）。</w:t>
            </w:r>
          </w:p>
        </w:tc>
        <w:tc>
          <w:tcPr>
            <w:tcW w:w="939" w:type="dxa"/>
            <w:vAlign w:val="center"/>
          </w:tcPr>
          <w:p w14:paraId="42B44FC6">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30</w:t>
            </w:r>
          </w:p>
        </w:tc>
        <w:tc>
          <w:tcPr>
            <w:tcW w:w="928" w:type="dxa"/>
            <w:vAlign w:val="center"/>
          </w:tcPr>
          <w:p w14:paraId="78BE3725">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30</w:t>
            </w:r>
          </w:p>
        </w:tc>
      </w:tr>
      <w:bookmarkEnd w:id="12"/>
      <w:bookmarkEnd w:id="13"/>
      <w:tr w14:paraId="36142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8412" w:type="dxa"/>
            <w:gridSpan w:val="3"/>
            <w:vAlign w:val="center"/>
          </w:tcPr>
          <w:p w14:paraId="1B90609B">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合计</w:t>
            </w:r>
          </w:p>
        </w:tc>
        <w:tc>
          <w:tcPr>
            <w:tcW w:w="939" w:type="dxa"/>
            <w:vAlign w:val="center"/>
          </w:tcPr>
          <w:p w14:paraId="334ECED9">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b/>
                <w:color w:val="auto"/>
                <w:sz w:val="24"/>
                <w:szCs w:val="24"/>
              </w:rPr>
            </w:pPr>
            <w:bookmarkStart w:id="14" w:name="回填数据_分数统计_总分_1"/>
            <w:r>
              <w:rPr>
                <w:rFonts w:hint="eastAsia" w:ascii="宋体" w:hAnsi="宋体" w:eastAsia="宋体" w:cs="宋体"/>
                <w:b/>
                <w:color w:val="auto"/>
                <w:sz w:val="24"/>
                <w:szCs w:val="24"/>
              </w:rPr>
              <w:t>100</w:t>
            </w:r>
            <w:bookmarkEnd w:id="14"/>
            <w:r>
              <w:rPr>
                <w:rFonts w:hint="eastAsia" w:ascii="宋体" w:hAnsi="宋体" w:eastAsia="宋体" w:cs="宋体"/>
                <w:b/>
                <w:color w:val="auto"/>
                <w:sz w:val="24"/>
                <w:szCs w:val="24"/>
                <w:lang w:val="en-US" w:eastAsia="zh-CN"/>
              </w:rPr>
              <w:t>分</w:t>
            </w:r>
          </w:p>
        </w:tc>
        <w:tc>
          <w:tcPr>
            <w:tcW w:w="928" w:type="dxa"/>
            <w:vAlign w:val="center"/>
          </w:tcPr>
          <w:p w14:paraId="75AC7C0F">
            <w:pPr>
              <w:keepNext w:val="0"/>
              <w:keepLines w:val="0"/>
              <w:pageBreakBefore w:val="0"/>
              <w:kinsoku/>
              <w:wordWrap/>
              <w:overflowPunct/>
              <w:topLinePunct w:val="0"/>
              <w:bidi w:val="0"/>
              <w:snapToGrid w:val="0"/>
              <w:spacing w:line="276" w:lineRule="auto"/>
              <w:ind w:left="0" w:leftChars="0" w:right="0" w:rightChars="0"/>
              <w:jc w:val="center"/>
              <w:textAlignment w:val="auto"/>
              <w:rPr>
                <w:rFonts w:hint="eastAsia" w:ascii="宋体" w:hAnsi="宋体" w:eastAsia="宋体" w:cs="宋体"/>
                <w:b/>
                <w:color w:val="auto"/>
                <w:sz w:val="24"/>
                <w:szCs w:val="24"/>
              </w:rPr>
            </w:pPr>
            <w:bookmarkStart w:id="15" w:name="回填数据_分数统计_总分_2"/>
            <w:r>
              <w:rPr>
                <w:rFonts w:hint="eastAsia" w:ascii="宋体" w:hAnsi="宋体" w:eastAsia="宋体" w:cs="宋体"/>
                <w:b/>
                <w:color w:val="auto"/>
                <w:sz w:val="24"/>
                <w:szCs w:val="24"/>
              </w:rPr>
              <w:t>100</w:t>
            </w:r>
            <w:bookmarkEnd w:id="15"/>
            <w:r>
              <w:rPr>
                <w:rFonts w:hint="eastAsia" w:ascii="宋体" w:hAnsi="宋体" w:eastAsia="宋体" w:cs="宋体"/>
                <w:b/>
                <w:color w:val="auto"/>
                <w:sz w:val="24"/>
                <w:szCs w:val="24"/>
                <w:lang w:val="en-US" w:eastAsia="zh-CN"/>
              </w:rPr>
              <w:t>%</w:t>
            </w:r>
          </w:p>
        </w:tc>
      </w:tr>
      <w:bookmarkEnd w:id="0"/>
      <w:bookmarkEnd w:id="1"/>
    </w:tbl>
    <w:p w14:paraId="452799EE">
      <w:pPr>
        <w:pStyle w:val="31"/>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rPr>
        <w:t>本项</w:t>
      </w:r>
      <w:r>
        <w:rPr>
          <w:rFonts w:hint="eastAsia" w:ascii="Times New Roman" w:hAnsi="Times New Roman" w:eastAsia="方正仿宋_GBK" w:cs="Times New Roman"/>
          <w:b w:val="0"/>
          <w:bCs w:val="0"/>
          <w:color w:val="000000"/>
          <w:sz w:val="32"/>
          <w:szCs w:val="32"/>
          <w:lang w:val="en-US" w:eastAsia="zh-CN"/>
        </w:rPr>
        <w:t>目</w:t>
      </w:r>
      <w:r>
        <w:rPr>
          <w:rFonts w:hint="eastAsia" w:ascii="Times New Roman" w:hAnsi="Times New Roman" w:eastAsia="方正仿宋_GBK" w:cs="Times New Roman"/>
          <w:b w:val="0"/>
          <w:bCs w:val="0"/>
          <w:color w:val="000000"/>
          <w:sz w:val="32"/>
          <w:szCs w:val="32"/>
        </w:rPr>
        <w:t>采</w:t>
      </w:r>
      <w:r>
        <w:rPr>
          <w:rFonts w:hint="eastAsia" w:ascii="Times New Roman" w:hAnsi="Times New Roman" w:eastAsia="方正仿宋_GBK" w:cs="Times New Roman"/>
          <w:b w:val="0"/>
          <w:bCs w:val="0"/>
          <w:color w:val="000000"/>
          <w:sz w:val="32"/>
          <w:szCs w:val="32"/>
          <w:lang w:val="en-US" w:eastAsia="zh-CN"/>
        </w:rPr>
        <w:t>用</w:t>
      </w:r>
      <w:r>
        <w:rPr>
          <w:rFonts w:hint="eastAsia" w:ascii="Times New Roman" w:hAnsi="Times New Roman" w:eastAsia="方正仿宋_GBK" w:cs="Times New Roman"/>
          <w:b w:val="0"/>
          <w:bCs w:val="0"/>
          <w:color w:val="000000"/>
          <w:sz w:val="32"/>
          <w:szCs w:val="32"/>
        </w:rPr>
        <w:t>固定价格采购的项</w:t>
      </w:r>
      <w:r>
        <w:rPr>
          <w:rFonts w:hint="eastAsia" w:ascii="Times New Roman" w:hAnsi="Times New Roman" w:eastAsia="方正仿宋_GBK" w:cs="Times New Roman"/>
          <w:b w:val="0"/>
          <w:bCs w:val="0"/>
          <w:color w:val="000000"/>
          <w:sz w:val="32"/>
          <w:szCs w:val="32"/>
          <w:lang w:val="en-US" w:eastAsia="zh-CN"/>
        </w:rPr>
        <w:t>目</w:t>
      </w:r>
      <w:r>
        <w:rPr>
          <w:rFonts w:hint="eastAsia" w:ascii="Times New Roman" w:hAnsi="Times New Roman" w:eastAsia="方正仿宋_GBK" w:cs="Times New Roman"/>
          <w:b w:val="0"/>
          <w:bCs w:val="0"/>
          <w:color w:val="000000"/>
          <w:sz w:val="32"/>
          <w:szCs w:val="32"/>
        </w:rPr>
        <w:t>，其价格不列为评审因素。①各供应商的</w:t>
      </w:r>
      <w:r>
        <w:rPr>
          <w:rFonts w:hint="eastAsia" w:ascii="Times New Roman" w:hAnsi="Times New Roman" w:eastAsia="方正仿宋_GBK" w:cs="Times New Roman"/>
          <w:b w:val="0"/>
          <w:bCs w:val="0"/>
          <w:color w:val="000000"/>
          <w:sz w:val="32"/>
          <w:szCs w:val="32"/>
          <w:lang w:val="en-US" w:eastAsia="zh-CN"/>
        </w:rPr>
        <w:t>首</w:t>
      </w:r>
      <w:r>
        <w:rPr>
          <w:rFonts w:hint="eastAsia" w:ascii="Times New Roman" w:hAnsi="Times New Roman" w:eastAsia="方正仿宋_GBK" w:cs="Times New Roman"/>
          <w:b w:val="0"/>
          <w:bCs w:val="0"/>
          <w:color w:val="000000"/>
          <w:sz w:val="32"/>
          <w:szCs w:val="32"/>
        </w:rPr>
        <w:t>次投标总报价按预算价格填报（即</w:t>
      </w:r>
      <w:r>
        <w:rPr>
          <w:rFonts w:hint="eastAsia" w:ascii="Times New Roman" w:hAnsi="Times New Roman" w:eastAsia="方正仿宋_GBK" w:cs="Times New Roman"/>
          <w:b w:val="0"/>
          <w:bCs w:val="0"/>
          <w:color w:val="000000"/>
          <w:sz w:val="32"/>
          <w:szCs w:val="32"/>
          <w:lang w:val="en-US" w:eastAsia="zh-CN"/>
        </w:rPr>
        <w:t>80</w:t>
      </w:r>
      <w:r>
        <w:rPr>
          <w:rFonts w:hint="eastAsia" w:ascii="Times New Roman" w:hAnsi="Times New Roman" w:eastAsia="方正仿宋_GBK" w:cs="Times New Roman"/>
          <w:b w:val="0"/>
          <w:bCs w:val="0"/>
          <w:color w:val="000000"/>
          <w:sz w:val="32"/>
          <w:szCs w:val="32"/>
        </w:rPr>
        <w:t>000元）；②（评审阶段的最终报价）：供应商最终报价仍按预算价格填报（即</w:t>
      </w:r>
      <w:r>
        <w:rPr>
          <w:rFonts w:hint="eastAsia" w:ascii="Times New Roman" w:hAnsi="Times New Roman" w:eastAsia="方正仿宋_GBK" w:cs="Times New Roman"/>
          <w:b w:val="0"/>
          <w:bCs w:val="0"/>
          <w:color w:val="000000"/>
          <w:sz w:val="32"/>
          <w:szCs w:val="32"/>
          <w:lang w:val="en-US" w:eastAsia="zh-CN"/>
        </w:rPr>
        <w:t>8</w:t>
      </w:r>
      <w:r>
        <w:rPr>
          <w:rFonts w:hint="eastAsia" w:ascii="Times New Roman" w:hAnsi="Times New Roman" w:eastAsia="方正仿宋_GBK" w:cs="Times New Roman"/>
          <w:b w:val="0"/>
          <w:bCs w:val="0"/>
          <w:color w:val="000000"/>
          <w:sz w:val="32"/>
          <w:szCs w:val="32"/>
        </w:rPr>
        <w:t>0000元）。所有</w:t>
      </w:r>
      <w:r>
        <w:rPr>
          <w:rFonts w:hint="eastAsia" w:ascii="Times New Roman" w:hAnsi="Times New Roman" w:eastAsia="方正仿宋_GBK" w:cs="Times New Roman"/>
          <w:b w:val="0"/>
          <w:bCs w:val="0"/>
          <w:color w:val="000000"/>
          <w:sz w:val="32"/>
          <w:szCs w:val="32"/>
          <w:lang w:val="en-US" w:eastAsia="zh-CN"/>
        </w:rPr>
        <w:t>符合询价文</w:t>
      </w:r>
      <w:r>
        <w:rPr>
          <w:rFonts w:hint="eastAsia" w:ascii="Times New Roman" w:hAnsi="Times New Roman" w:eastAsia="方正仿宋_GBK" w:cs="Times New Roman"/>
          <w:b w:val="0"/>
          <w:bCs w:val="0"/>
          <w:color w:val="000000"/>
          <w:sz w:val="32"/>
          <w:szCs w:val="32"/>
        </w:rPr>
        <w:t>件要求的供应商的价格分均按满分计算，未按要求报价的视为未通过符合性审查。</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72763"/>
    <w:multiLevelType w:val="multilevel"/>
    <w:tmpl w:val="3B372763"/>
    <w:lvl w:ilvl="0" w:tentative="0">
      <w:start w:val="1"/>
      <w:numFmt w:val="chineseCountingThousand"/>
      <w:lvlText w:val="(%1)"/>
      <w:lvlJc w:val="left"/>
      <w:pPr>
        <w:ind w:left="420" w:hanging="420"/>
      </w:pPr>
      <w:rPr>
        <w:rFonts w:hint="default"/>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D7191F"/>
    <w:multiLevelType w:val="singleLevel"/>
    <w:tmpl w:val="69D7191F"/>
    <w:lvl w:ilvl="0" w:tentative="0">
      <w:start w:val="1"/>
      <w:numFmt w:val="decimal"/>
      <w:suff w:val="nothing"/>
      <w:lvlText w:val="（%1）"/>
      <w:lvlJc w:val="left"/>
    </w:lvl>
  </w:abstractNum>
  <w:abstractNum w:abstractNumId="2">
    <w:nsid w:val="6C73457C"/>
    <w:multiLevelType w:val="multilevel"/>
    <w:tmpl w:val="6C73457C"/>
    <w:lvl w:ilvl="0" w:tentative="0">
      <w:start w:val="1"/>
      <w:numFmt w:val="chineseCountingThousand"/>
      <w:lvlText w:val="(%1)"/>
      <w:lvlJc w:val="left"/>
      <w:pPr>
        <w:ind w:left="420" w:hanging="420"/>
      </w:pPr>
      <w:rPr>
        <w:rFonts w:hint="default"/>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YjUzZjMyNjhjNjczYzRlNGI4MjhmZDRlNTk1MTkifQ=="/>
  </w:docVars>
  <w:rsids>
    <w:rsidRoot w:val="00286E7C"/>
    <w:rsid w:val="0003155F"/>
    <w:rsid w:val="00046B08"/>
    <w:rsid w:val="0005056D"/>
    <w:rsid w:val="00091556"/>
    <w:rsid w:val="000921C0"/>
    <w:rsid w:val="0010000F"/>
    <w:rsid w:val="001476E1"/>
    <w:rsid w:val="00161C3A"/>
    <w:rsid w:val="001857BC"/>
    <w:rsid w:val="001B56D9"/>
    <w:rsid w:val="001D28F1"/>
    <w:rsid w:val="001F303B"/>
    <w:rsid w:val="00211A31"/>
    <w:rsid w:val="002430EF"/>
    <w:rsid w:val="002604A1"/>
    <w:rsid w:val="00284A0B"/>
    <w:rsid w:val="00286E7C"/>
    <w:rsid w:val="002902CF"/>
    <w:rsid w:val="00297583"/>
    <w:rsid w:val="002B0468"/>
    <w:rsid w:val="002B69CB"/>
    <w:rsid w:val="00300E99"/>
    <w:rsid w:val="0033518F"/>
    <w:rsid w:val="00357438"/>
    <w:rsid w:val="0037710A"/>
    <w:rsid w:val="00393C7C"/>
    <w:rsid w:val="003A043A"/>
    <w:rsid w:val="003C5F38"/>
    <w:rsid w:val="00446802"/>
    <w:rsid w:val="00450C5F"/>
    <w:rsid w:val="00451926"/>
    <w:rsid w:val="00461BB2"/>
    <w:rsid w:val="005A1019"/>
    <w:rsid w:val="005A38ED"/>
    <w:rsid w:val="005D1E72"/>
    <w:rsid w:val="005E6F81"/>
    <w:rsid w:val="005F42FA"/>
    <w:rsid w:val="00604F2B"/>
    <w:rsid w:val="00622358"/>
    <w:rsid w:val="00633CF3"/>
    <w:rsid w:val="0064623F"/>
    <w:rsid w:val="006708A2"/>
    <w:rsid w:val="006911F9"/>
    <w:rsid w:val="0069141B"/>
    <w:rsid w:val="006967D5"/>
    <w:rsid w:val="006B1C18"/>
    <w:rsid w:val="0079721B"/>
    <w:rsid w:val="007A4498"/>
    <w:rsid w:val="007A4ACD"/>
    <w:rsid w:val="007B5455"/>
    <w:rsid w:val="007E0D19"/>
    <w:rsid w:val="0082565E"/>
    <w:rsid w:val="00836EF3"/>
    <w:rsid w:val="008B7AC6"/>
    <w:rsid w:val="008F49C0"/>
    <w:rsid w:val="008F71D6"/>
    <w:rsid w:val="00907480"/>
    <w:rsid w:val="009172EF"/>
    <w:rsid w:val="0095357B"/>
    <w:rsid w:val="009B78AA"/>
    <w:rsid w:val="009F331C"/>
    <w:rsid w:val="00A03DF0"/>
    <w:rsid w:val="00A1124A"/>
    <w:rsid w:val="00A45D83"/>
    <w:rsid w:val="00A70F24"/>
    <w:rsid w:val="00A7445B"/>
    <w:rsid w:val="00A747AA"/>
    <w:rsid w:val="00AE310F"/>
    <w:rsid w:val="00AE6D4C"/>
    <w:rsid w:val="00B462FE"/>
    <w:rsid w:val="00B81E70"/>
    <w:rsid w:val="00BA62FE"/>
    <w:rsid w:val="00BC1A38"/>
    <w:rsid w:val="00BE4F14"/>
    <w:rsid w:val="00BE714A"/>
    <w:rsid w:val="00BF1B8E"/>
    <w:rsid w:val="00C11DD8"/>
    <w:rsid w:val="00C2710A"/>
    <w:rsid w:val="00C40C2B"/>
    <w:rsid w:val="00C442B1"/>
    <w:rsid w:val="00C703CA"/>
    <w:rsid w:val="00CD3831"/>
    <w:rsid w:val="00CF09A6"/>
    <w:rsid w:val="00D2032A"/>
    <w:rsid w:val="00D22BE1"/>
    <w:rsid w:val="00D25BD9"/>
    <w:rsid w:val="00D40710"/>
    <w:rsid w:val="00DB71DF"/>
    <w:rsid w:val="00DE585D"/>
    <w:rsid w:val="00DE6361"/>
    <w:rsid w:val="00E0172B"/>
    <w:rsid w:val="00E17E64"/>
    <w:rsid w:val="00E20E8A"/>
    <w:rsid w:val="00E65AC4"/>
    <w:rsid w:val="00EA2B22"/>
    <w:rsid w:val="00EB23E5"/>
    <w:rsid w:val="00EB6A13"/>
    <w:rsid w:val="00ED5F9A"/>
    <w:rsid w:val="00ED6DDB"/>
    <w:rsid w:val="00F036E1"/>
    <w:rsid w:val="00F9637C"/>
    <w:rsid w:val="00FB3E36"/>
    <w:rsid w:val="00FE4765"/>
    <w:rsid w:val="00FF4E61"/>
    <w:rsid w:val="017A2B98"/>
    <w:rsid w:val="01DA22F3"/>
    <w:rsid w:val="032820CC"/>
    <w:rsid w:val="03C46DE8"/>
    <w:rsid w:val="03C65010"/>
    <w:rsid w:val="044F4E30"/>
    <w:rsid w:val="05687CD1"/>
    <w:rsid w:val="06DB4F0F"/>
    <w:rsid w:val="078C7FBC"/>
    <w:rsid w:val="07B20E0B"/>
    <w:rsid w:val="07FE078E"/>
    <w:rsid w:val="09DD19D7"/>
    <w:rsid w:val="0A7C3353"/>
    <w:rsid w:val="0AA42F4A"/>
    <w:rsid w:val="0AFE3C0A"/>
    <w:rsid w:val="0C077C11"/>
    <w:rsid w:val="0D957AD2"/>
    <w:rsid w:val="0DBF656A"/>
    <w:rsid w:val="0DEC78CF"/>
    <w:rsid w:val="0E962B4C"/>
    <w:rsid w:val="0F8B3E23"/>
    <w:rsid w:val="106368C1"/>
    <w:rsid w:val="11620A37"/>
    <w:rsid w:val="11845E93"/>
    <w:rsid w:val="118F536D"/>
    <w:rsid w:val="133F350A"/>
    <w:rsid w:val="14221993"/>
    <w:rsid w:val="14F15AFB"/>
    <w:rsid w:val="1606331B"/>
    <w:rsid w:val="16BA4105"/>
    <w:rsid w:val="16FA09A5"/>
    <w:rsid w:val="1B7F7C2A"/>
    <w:rsid w:val="1B8F5B60"/>
    <w:rsid w:val="1C071A11"/>
    <w:rsid w:val="1D113879"/>
    <w:rsid w:val="1E0C15A4"/>
    <w:rsid w:val="1E4E54A7"/>
    <w:rsid w:val="1F4D023E"/>
    <w:rsid w:val="208C7A8E"/>
    <w:rsid w:val="20D81D57"/>
    <w:rsid w:val="20E47D96"/>
    <w:rsid w:val="22556736"/>
    <w:rsid w:val="2265761B"/>
    <w:rsid w:val="239755D0"/>
    <w:rsid w:val="25355614"/>
    <w:rsid w:val="256E2BCF"/>
    <w:rsid w:val="25EB43CE"/>
    <w:rsid w:val="26B75648"/>
    <w:rsid w:val="26EE54CB"/>
    <w:rsid w:val="27286949"/>
    <w:rsid w:val="2AE706CA"/>
    <w:rsid w:val="2B870602"/>
    <w:rsid w:val="2CA0359B"/>
    <w:rsid w:val="2D2500D2"/>
    <w:rsid w:val="2D3314B8"/>
    <w:rsid w:val="2D452523"/>
    <w:rsid w:val="2F5B74E9"/>
    <w:rsid w:val="2FF10740"/>
    <w:rsid w:val="31CF6257"/>
    <w:rsid w:val="31ED18A0"/>
    <w:rsid w:val="338E5E74"/>
    <w:rsid w:val="33B77F91"/>
    <w:rsid w:val="35E1717C"/>
    <w:rsid w:val="35EA4638"/>
    <w:rsid w:val="360032FB"/>
    <w:rsid w:val="367C7ABF"/>
    <w:rsid w:val="390E4110"/>
    <w:rsid w:val="395145B2"/>
    <w:rsid w:val="395835DE"/>
    <w:rsid w:val="39611247"/>
    <w:rsid w:val="396916B2"/>
    <w:rsid w:val="3A3F39ED"/>
    <w:rsid w:val="3A802DEC"/>
    <w:rsid w:val="3B0B03D0"/>
    <w:rsid w:val="3B9230FF"/>
    <w:rsid w:val="3D2A6314"/>
    <w:rsid w:val="3E691DE9"/>
    <w:rsid w:val="3EA81F46"/>
    <w:rsid w:val="3F9071CE"/>
    <w:rsid w:val="404353BA"/>
    <w:rsid w:val="41390199"/>
    <w:rsid w:val="41F145CF"/>
    <w:rsid w:val="42D31F27"/>
    <w:rsid w:val="44F42194"/>
    <w:rsid w:val="451E0F67"/>
    <w:rsid w:val="47846AC2"/>
    <w:rsid w:val="47B2113C"/>
    <w:rsid w:val="4B206826"/>
    <w:rsid w:val="4D3161C8"/>
    <w:rsid w:val="4F196463"/>
    <w:rsid w:val="50331299"/>
    <w:rsid w:val="507A1C95"/>
    <w:rsid w:val="509C5CED"/>
    <w:rsid w:val="50A82C45"/>
    <w:rsid w:val="53A52BA2"/>
    <w:rsid w:val="53F0635E"/>
    <w:rsid w:val="54E74CE3"/>
    <w:rsid w:val="56220DA3"/>
    <w:rsid w:val="56DA0805"/>
    <w:rsid w:val="57415CB4"/>
    <w:rsid w:val="575423B7"/>
    <w:rsid w:val="57B00AA2"/>
    <w:rsid w:val="58A55C7D"/>
    <w:rsid w:val="58C86B83"/>
    <w:rsid w:val="59382E22"/>
    <w:rsid w:val="5B146CD1"/>
    <w:rsid w:val="5BC47B5F"/>
    <w:rsid w:val="5DAD3649"/>
    <w:rsid w:val="604A0BD3"/>
    <w:rsid w:val="608973DD"/>
    <w:rsid w:val="617A19DF"/>
    <w:rsid w:val="61B24A42"/>
    <w:rsid w:val="623B7475"/>
    <w:rsid w:val="62AA45FB"/>
    <w:rsid w:val="65A43583"/>
    <w:rsid w:val="66627F4B"/>
    <w:rsid w:val="672253EF"/>
    <w:rsid w:val="685D73F4"/>
    <w:rsid w:val="6A1F7AEE"/>
    <w:rsid w:val="6BDA601A"/>
    <w:rsid w:val="6C3458AE"/>
    <w:rsid w:val="6D6A51AD"/>
    <w:rsid w:val="706F36D4"/>
    <w:rsid w:val="71757B08"/>
    <w:rsid w:val="71E27A87"/>
    <w:rsid w:val="72EB2870"/>
    <w:rsid w:val="741E4111"/>
    <w:rsid w:val="74541E41"/>
    <w:rsid w:val="757E6290"/>
    <w:rsid w:val="75C856BF"/>
    <w:rsid w:val="76513D86"/>
    <w:rsid w:val="7698323E"/>
    <w:rsid w:val="76DD7032"/>
    <w:rsid w:val="770440A0"/>
    <w:rsid w:val="772438D4"/>
    <w:rsid w:val="77511B15"/>
    <w:rsid w:val="78500977"/>
    <w:rsid w:val="79187C6C"/>
    <w:rsid w:val="79237B44"/>
    <w:rsid w:val="794E726F"/>
    <w:rsid w:val="79C03641"/>
    <w:rsid w:val="79C56A63"/>
    <w:rsid w:val="79E36029"/>
    <w:rsid w:val="7CBD140A"/>
    <w:rsid w:val="7ED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6">
    <w:name w:val="caption"/>
    <w:basedOn w:val="1"/>
    <w:next w:val="1"/>
    <w:qFormat/>
    <w:uiPriority w:val="35"/>
    <w:pPr>
      <w:widowControl/>
      <w:spacing w:before="100" w:beforeAutospacing="1" w:after="100" w:afterAutospacing="1"/>
      <w:jc w:val="left"/>
    </w:pPr>
    <w:rPr>
      <w:rFonts w:ascii="宋体" w:hAnsi="宋体" w:eastAsia="宋体" w:cs="宋体"/>
      <w:kern w:val="0"/>
      <w:sz w:val="24"/>
      <w:szCs w:val="24"/>
    </w:rPr>
  </w:style>
  <w:style w:type="paragraph" w:styleId="7">
    <w:name w:val="annotation text"/>
    <w:basedOn w:val="1"/>
    <w:unhideWhenUsed/>
    <w:qFormat/>
    <w:uiPriority w:val="99"/>
  </w:style>
  <w:style w:type="paragraph" w:styleId="8">
    <w:name w:val="Body Text"/>
    <w:basedOn w:val="1"/>
    <w:qFormat/>
    <w:uiPriority w:val="0"/>
  </w:style>
  <w:style w:type="paragraph" w:styleId="9">
    <w:name w:val="Balloon Text"/>
    <w:basedOn w:val="1"/>
    <w:link w:val="26"/>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sz w:val="24"/>
    </w:rPr>
  </w:style>
  <w:style w:type="table" w:styleId="14">
    <w:name w:val="Table Grid"/>
    <w:basedOn w:val="13"/>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customStyle="1" w:styleId="17">
    <w:name w:val="标题 1 字符"/>
    <w:basedOn w:val="15"/>
    <w:link w:val="3"/>
    <w:qFormat/>
    <w:uiPriority w:val="9"/>
    <w:rPr>
      <w:rFonts w:ascii="宋体" w:hAnsi="宋体" w:eastAsia="宋体" w:cs="宋体"/>
      <w:b/>
      <w:bCs/>
      <w:kern w:val="36"/>
      <w:sz w:val="48"/>
      <w:szCs w:val="48"/>
    </w:rPr>
  </w:style>
  <w:style w:type="character" w:customStyle="1" w:styleId="18">
    <w:name w:val="标题 2 字符"/>
    <w:basedOn w:val="15"/>
    <w:link w:val="2"/>
    <w:qFormat/>
    <w:uiPriority w:val="9"/>
    <w:rPr>
      <w:rFonts w:ascii="宋体" w:hAnsi="宋体" w:eastAsia="宋体" w:cs="宋体"/>
      <w:b/>
      <w:bCs/>
      <w:kern w:val="0"/>
      <w:sz w:val="36"/>
      <w:szCs w:val="36"/>
    </w:rPr>
  </w:style>
  <w:style w:type="paragraph" w:customStyle="1" w:styleId="19">
    <w:name w:val="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15"/>
    <w:basedOn w:val="15"/>
    <w:qFormat/>
    <w:uiPriority w:val="0"/>
  </w:style>
  <w:style w:type="character" w:customStyle="1" w:styleId="22">
    <w:name w:val="标题 3 字符"/>
    <w:basedOn w:val="15"/>
    <w:link w:val="4"/>
    <w:semiHidden/>
    <w:qFormat/>
    <w:uiPriority w:val="9"/>
    <w:rPr>
      <w:b/>
      <w:bCs/>
      <w:sz w:val="32"/>
      <w:szCs w:val="32"/>
    </w:rPr>
  </w:style>
  <w:style w:type="paragraph" w:customStyle="1" w:styleId="23">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4">
    <w:name w:val="页眉 字符"/>
    <w:basedOn w:val="15"/>
    <w:link w:val="11"/>
    <w:qFormat/>
    <w:uiPriority w:val="99"/>
    <w:rPr>
      <w:sz w:val="18"/>
      <w:szCs w:val="18"/>
    </w:rPr>
  </w:style>
  <w:style w:type="character" w:customStyle="1" w:styleId="25">
    <w:name w:val="页脚 字符"/>
    <w:basedOn w:val="15"/>
    <w:link w:val="10"/>
    <w:qFormat/>
    <w:uiPriority w:val="99"/>
    <w:rPr>
      <w:sz w:val="18"/>
      <w:szCs w:val="18"/>
    </w:rPr>
  </w:style>
  <w:style w:type="character" w:customStyle="1" w:styleId="26">
    <w:name w:val="批注框文本 字符"/>
    <w:basedOn w:val="15"/>
    <w:link w:val="9"/>
    <w:semiHidden/>
    <w:qFormat/>
    <w:uiPriority w:val="99"/>
    <w:rPr>
      <w:sz w:val="18"/>
      <w:szCs w:val="18"/>
    </w:rPr>
  </w:style>
  <w:style w:type="character" w:customStyle="1" w:styleId="27">
    <w:name w:val="标题 4 字符"/>
    <w:basedOn w:val="15"/>
    <w:link w:val="5"/>
    <w:semiHidden/>
    <w:qFormat/>
    <w:uiPriority w:val="9"/>
    <w:rPr>
      <w:rFonts w:asciiTheme="majorHAnsi" w:hAnsiTheme="majorHAnsi" w:eastAsiaTheme="majorEastAsia" w:cstheme="majorBidi"/>
      <w:b/>
      <w:bCs/>
      <w:sz w:val="28"/>
      <w:szCs w:val="28"/>
    </w:rPr>
  </w:style>
  <w:style w:type="character" w:customStyle="1" w:styleId="28">
    <w:name w:val="列表段落 字符"/>
    <w:link w:val="29"/>
    <w:qFormat/>
    <w:locked/>
    <w:uiPriority w:val="34"/>
    <w:rPr>
      <w:rFonts w:ascii="宋体" w:hAnsi="宋体" w:eastAsia="宋体" w:cs="宋体"/>
      <w:kern w:val="0"/>
      <w:sz w:val="22"/>
      <w:lang w:val="zh-CN" w:bidi="zh-CN"/>
    </w:rPr>
  </w:style>
  <w:style w:type="paragraph" w:customStyle="1" w:styleId="29">
    <w:name w:val="List Paragraph"/>
    <w:basedOn w:val="1"/>
    <w:link w:val="28"/>
    <w:qFormat/>
    <w:uiPriority w:val="34"/>
    <w:pPr>
      <w:autoSpaceDE w:val="0"/>
      <w:autoSpaceDN w:val="0"/>
      <w:ind w:left="1025" w:hanging="567"/>
      <w:jc w:val="left"/>
    </w:pPr>
    <w:rPr>
      <w:rFonts w:ascii="宋体" w:hAnsi="宋体" w:eastAsia="宋体" w:cs="宋体"/>
      <w:kern w:val="0"/>
      <w:sz w:val="22"/>
      <w:lang w:val="zh-CN" w:bidi="zh-CN"/>
    </w:rPr>
  </w:style>
  <w:style w:type="paragraph" w:customStyle="1" w:styleId="30">
    <w:name w:val="marklang-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2">
    <w:name w:val="null3"/>
    <w:hidden/>
    <w:qFormat/>
    <w:uiPriority w:val="0"/>
    <w:rPr>
      <w:rFonts w:hint="eastAsia" w:asciiTheme="minorHAnsi" w:hAnsiTheme="minorHAnsi" w:eastAsiaTheme="minorEastAsia" w:cstheme="minorBidi"/>
      <w:sz w:val="21"/>
      <w:szCs w:val="22"/>
      <w:lang w:val="en-US" w:eastAsia="zh-Hans"/>
    </w:rPr>
  </w:style>
  <w:style w:type="paragraph" w:customStyle="1" w:styleId="33">
    <w:name w:val="其他"/>
    <w:basedOn w:val="1"/>
    <w:qFormat/>
    <w:uiPriority w:val="0"/>
    <w:pPr>
      <w:widowControl w:val="0"/>
      <w:shd w:val="clear" w:color="auto" w:fill="auto"/>
      <w:spacing w:line="442" w:lineRule="auto"/>
      <w:ind w:firstLine="400"/>
    </w:pPr>
    <w:rPr>
      <w:rFonts w:ascii="宋体" w:hAnsi="宋体" w:eastAsia="宋体" w:cs="宋体"/>
      <w:u w:val="none"/>
      <w:shd w:val="clear" w:color="auto" w:fill="auto"/>
    </w:rPr>
  </w:style>
  <w:style w:type="paragraph" w:customStyle="1" w:styleId="34">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3828</Words>
  <Characters>3996</Characters>
  <Lines>31</Lines>
  <Paragraphs>8</Paragraphs>
  <TotalTime>11</TotalTime>
  <ScaleCrop>false</ScaleCrop>
  <LinksUpToDate>false</LinksUpToDate>
  <CharactersWithSpaces>4297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2020-06-17T13:30:00Z</dcterms:created>
  <dc:creator>19598</dc:creator>
  <cp:lastModifiedBy>刘清华</cp:lastModifiedBy>
  <dcterms:modified xsi:type="dcterms:W3CDTF">2026-04-27T02:50:40Z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A6BBD5F3B2A54B0A840AE55694667EE7_13</vt:lpwstr>
  </property>
  <property fmtid="{D5CDD505-2E9C-101B-9397-08002B2CF9AE}" pid="4" name="KSOTemplateDocerSaveRecord">
    <vt:lpwstr>eyJoZGlkIjoiMmUyNTA1N2IwOWMzMjZhZTVlNzk2NjI1MzBlNzBiMjgiLCJ1c2VySWQiOiIzMDEyNjYwMTUifQ==</vt:lpwstr>
  </property>
</Properties>
</file>