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Style w:val="4"/>
          <w:rFonts w:hint="default" w:ascii="仿宋_GB2312" w:hAnsi="仿宋" w:eastAsia="仿宋_GB2312" w:cs="Times New Roman"/>
          <w:color w:val="auto"/>
        </w:rPr>
      </w:pPr>
      <w:r>
        <w:rPr>
          <w:rFonts w:hint="eastAsia" w:ascii="方正小标宋简体" w:hAnsi="方正小标宋简体" w:eastAsia="方正小标宋简体" w:cs="方正小标宋简体"/>
          <w:color w:val="000000"/>
          <w:kern w:val="0"/>
          <w:sz w:val="44"/>
          <w:szCs w:val="44"/>
          <w:lang w:bidi="ar"/>
        </w:rPr>
        <w:t>鹤山市国家机关“谁执法谁普法”普法责任清单（2019年）</w:t>
      </w:r>
    </w:p>
    <w:p>
      <w:pPr>
        <w:spacing w:line="480" w:lineRule="exact"/>
        <w:jc w:val="center"/>
        <w:rPr>
          <w:rStyle w:val="4"/>
          <w:rFonts w:hint="default" w:ascii="楷体" w:hAnsi="楷体" w:eastAsia="楷体" w:cs="楷体"/>
          <w:lang w:bidi="ar"/>
        </w:rPr>
      </w:pPr>
      <w:r>
        <w:rPr>
          <w:rStyle w:val="4"/>
          <w:rFonts w:hint="default" w:ascii="楷体" w:hAnsi="楷体" w:eastAsia="楷体" w:cs="楷体"/>
          <w:lang w:bidi="ar"/>
        </w:rPr>
        <w:t>共性普法责任清单</w:t>
      </w:r>
    </w:p>
    <w:tbl>
      <w:tblPr>
        <w:tblStyle w:val="3"/>
        <w:tblW w:w="14601" w:type="dxa"/>
        <w:tblInd w:w="-269" w:type="dxa"/>
        <w:tblLayout w:type="fixed"/>
        <w:tblCellMar>
          <w:top w:w="15" w:type="dxa"/>
          <w:left w:w="15" w:type="dxa"/>
          <w:bottom w:w="15" w:type="dxa"/>
          <w:right w:w="15" w:type="dxa"/>
        </w:tblCellMar>
      </w:tblPr>
      <w:tblGrid>
        <w:gridCol w:w="3462"/>
        <w:gridCol w:w="2067"/>
        <w:gridCol w:w="2649"/>
        <w:gridCol w:w="6423"/>
      </w:tblGrid>
      <w:tr>
        <w:tblPrEx>
          <w:tblLayout w:type="fixed"/>
          <w:tblCellMar>
            <w:top w:w="15" w:type="dxa"/>
            <w:left w:w="15" w:type="dxa"/>
            <w:bottom w:w="15" w:type="dxa"/>
            <w:right w:w="15" w:type="dxa"/>
          </w:tblCellMar>
        </w:tblPrEx>
        <w:trPr>
          <w:trHeight w:val="240" w:hRule="atLeast"/>
          <w:tblHeader/>
        </w:trPr>
        <w:tc>
          <w:tcPr>
            <w:tcW w:w="346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普法内容</w:t>
            </w:r>
          </w:p>
        </w:tc>
        <w:tc>
          <w:tcPr>
            <w:tcW w:w="206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普法对象</w:t>
            </w:r>
          </w:p>
        </w:tc>
        <w:tc>
          <w:tcPr>
            <w:tcW w:w="264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普法目标</w:t>
            </w:r>
          </w:p>
        </w:tc>
        <w:tc>
          <w:tcPr>
            <w:tcW w:w="64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具体举措</w:t>
            </w:r>
          </w:p>
        </w:tc>
      </w:tr>
      <w:tr>
        <w:tblPrEx>
          <w:tblLayout w:type="fixed"/>
          <w:tblCellMar>
            <w:top w:w="15" w:type="dxa"/>
            <w:left w:w="15" w:type="dxa"/>
            <w:bottom w:w="15" w:type="dxa"/>
            <w:right w:w="15" w:type="dxa"/>
          </w:tblCellMar>
        </w:tblPrEx>
        <w:trPr>
          <w:trHeight w:val="2568" w:hRule="atLeast"/>
        </w:trPr>
        <w:tc>
          <w:tcPr>
            <w:tcW w:w="3462"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ascii="仿宋" w:hAnsi="仿宋" w:eastAsia="仿宋" w:cs="仿宋_GB2312"/>
                <w:color w:val="000000"/>
                <w:szCs w:val="21"/>
              </w:rPr>
            </w:pPr>
            <w:r>
              <w:rPr>
                <w:rFonts w:hint="eastAsia" w:ascii="仿宋" w:hAnsi="仿宋" w:eastAsia="仿宋" w:cs="仿宋_GB2312"/>
                <w:color w:val="000000"/>
                <w:szCs w:val="21"/>
              </w:rPr>
              <w:t>1.深入学习宣传习近平新时代中国特色社会主义思想特别是习近平总书记关于全面依法治国、依规治党的重要论述和以习近平同志为核心的党中央关于全面依法治国的重要部署;</w:t>
            </w:r>
          </w:p>
          <w:p>
            <w:pPr>
              <w:widowControl/>
              <w:spacing w:line="300" w:lineRule="exact"/>
              <w:textAlignment w:val="center"/>
              <w:rPr>
                <w:rFonts w:ascii="仿宋" w:hAnsi="仿宋" w:eastAsia="仿宋" w:cs="仿宋_GB2312"/>
                <w:color w:val="000000"/>
                <w:szCs w:val="21"/>
              </w:rPr>
            </w:pPr>
            <w:r>
              <w:rPr>
                <w:rFonts w:hint="eastAsia" w:ascii="仿宋" w:hAnsi="仿宋" w:eastAsia="仿宋" w:cs="仿宋_GB2312"/>
                <w:color w:val="000000"/>
                <w:szCs w:val="21"/>
              </w:rPr>
              <w:t>2.深入学习宣传宪法和中国特色社会主义法律体系。</w:t>
            </w:r>
          </w:p>
          <w:p>
            <w:pPr>
              <w:widowControl/>
              <w:spacing w:line="300" w:lineRule="exact"/>
              <w:textAlignment w:val="center"/>
              <w:rPr>
                <w:rFonts w:ascii="仿宋" w:hAnsi="仿宋" w:eastAsia="仿宋" w:cs="仿宋_GB2312"/>
                <w:color w:val="000000"/>
                <w:szCs w:val="21"/>
              </w:rPr>
            </w:pPr>
            <w:r>
              <w:rPr>
                <w:rFonts w:hint="eastAsia" w:ascii="仿宋" w:hAnsi="仿宋" w:eastAsia="仿宋" w:cs="仿宋_GB2312"/>
                <w:color w:val="000000"/>
                <w:szCs w:val="21"/>
              </w:rPr>
              <w:t>3.深入学习宣传党内法规。</w:t>
            </w:r>
          </w:p>
        </w:tc>
        <w:tc>
          <w:tcPr>
            <w:tcW w:w="2067"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全体公民</w:t>
            </w:r>
          </w:p>
        </w:tc>
        <w:tc>
          <w:tcPr>
            <w:tcW w:w="2649"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提高全民法治意识，提升政府依法治理能力和水平，在全社会形成尊法学法守法用法的良好氛围。</w:t>
            </w:r>
          </w:p>
        </w:tc>
        <w:tc>
          <w:tcPr>
            <w:tcW w:w="6423"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1.组织开展“尊法学法守法用法”主题法治宣传教育实践活动和“尊崇宪法、学习宪法、遵守宪法、维护宪法、运用宪法”宣传教育活动;积极参与全国普法办和省、市普法办组织开展的法治宣传教育活动和社会公益普法活动。</w:t>
            </w:r>
          </w:p>
          <w:p>
            <w:pPr>
              <w:widowControl/>
              <w:spacing w:line="30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2.充分利用国家宪法日、法治广东宣传教育周、行业宣传日(周、月)、法律法规颁布施行纪念日等特殊时间节点，持续开展“法律六进”活动。</w:t>
            </w:r>
          </w:p>
          <w:p>
            <w:pPr>
              <w:widowControl/>
              <w:spacing w:line="30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3.围绕扫黑除恶专项斗争，通过以案释法等方式深入开展法治宣传教育，加大专项斗争成果的宣传力度，积极推进扫黑除恶专项斗争向纵深发展。</w:t>
            </w:r>
          </w:p>
        </w:tc>
      </w:tr>
      <w:tr>
        <w:tblPrEx>
          <w:tblLayout w:type="fixed"/>
          <w:tblCellMar>
            <w:top w:w="15" w:type="dxa"/>
            <w:left w:w="15" w:type="dxa"/>
            <w:bottom w:w="15" w:type="dxa"/>
            <w:right w:w="15" w:type="dxa"/>
          </w:tblCellMar>
        </w:tblPrEx>
        <w:trPr>
          <w:trHeight w:val="80" w:hRule="atLeast"/>
        </w:trPr>
        <w:tc>
          <w:tcPr>
            <w:tcW w:w="3462"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 w:hAnsi="仿宋" w:eastAsia="仿宋" w:cs="仿宋_GB2312"/>
                <w:color w:val="000000"/>
                <w:szCs w:val="21"/>
              </w:rPr>
            </w:pPr>
            <w:r>
              <w:rPr>
                <w:rFonts w:hint="eastAsia" w:ascii="仿宋" w:hAnsi="仿宋" w:eastAsia="仿宋" w:cs="仿宋_GB2312"/>
                <w:color w:val="000000"/>
                <w:szCs w:val="21"/>
              </w:rPr>
              <w:t xml:space="preserve">突出学习宣传与本系统、本部门职责相关的行业性、专业性法律法规，以及行政许可法、行政强制法、行政处罚法、行政复议法、行政诉讼法和政府信息公开条例等与行政行为密切相关的程序性法律法规。 </w:t>
            </w:r>
          </w:p>
        </w:tc>
        <w:tc>
          <w:tcPr>
            <w:tcW w:w="2067"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机关、事业单位工作人员</w:t>
            </w:r>
          </w:p>
        </w:tc>
        <w:tc>
          <w:tcPr>
            <w:tcW w:w="2649"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增强工作人员法律业务素质，提升政府机构管理与服务水平。</w:t>
            </w:r>
          </w:p>
        </w:tc>
        <w:tc>
          <w:tcPr>
            <w:tcW w:w="6423"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1. 健全完善党委理论学习中心组学法治度和国家工作人员日常学法治度，推进机关工作人员学法经常化。</w:t>
            </w:r>
          </w:p>
          <w:p>
            <w:pPr>
              <w:widowControl/>
              <w:spacing w:line="30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2.通过组织专题培训、旁听庭审、开展法律业务知识竞赛、邀请法律专家授课等多种形式强化法治学习。</w:t>
            </w:r>
          </w:p>
          <w:p>
            <w:pPr>
              <w:widowControl/>
              <w:spacing w:line="30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3. 组织发动工作人员参加年度学法考试，将考试结果纳入工作人员年度考核内容。</w:t>
            </w:r>
          </w:p>
        </w:tc>
      </w:tr>
    </w:tbl>
    <w:p>
      <w:pPr>
        <w:jc w:val="center"/>
        <w:rPr>
          <w:rStyle w:val="4"/>
          <w:rFonts w:hint="default" w:ascii="楷体" w:hAnsi="楷体" w:eastAsia="楷体" w:cs="楷体"/>
          <w:lang w:bidi="ar"/>
        </w:rPr>
      </w:pPr>
      <w:r>
        <w:rPr>
          <w:rStyle w:val="4"/>
          <w:rFonts w:hint="default" w:ascii="楷体" w:hAnsi="楷体" w:eastAsia="楷体" w:cs="楷体"/>
          <w:lang w:bidi="ar"/>
        </w:rPr>
        <w:t>个性普法责任清单</w:t>
      </w:r>
    </w:p>
    <w:tbl>
      <w:tblPr>
        <w:tblStyle w:val="3"/>
        <w:tblW w:w="14601" w:type="dxa"/>
        <w:tblInd w:w="-269" w:type="dxa"/>
        <w:tblLayout w:type="fixed"/>
        <w:tblCellMar>
          <w:top w:w="15" w:type="dxa"/>
          <w:left w:w="15" w:type="dxa"/>
          <w:bottom w:w="15" w:type="dxa"/>
          <w:right w:w="15" w:type="dxa"/>
        </w:tblCellMar>
      </w:tblPr>
      <w:tblGrid>
        <w:gridCol w:w="3444"/>
        <w:gridCol w:w="2085"/>
        <w:gridCol w:w="2648"/>
        <w:gridCol w:w="6424"/>
      </w:tblGrid>
      <w:tr>
        <w:tblPrEx>
          <w:tblLayout w:type="fixed"/>
          <w:tblCellMar>
            <w:top w:w="15" w:type="dxa"/>
            <w:left w:w="15" w:type="dxa"/>
            <w:bottom w:w="15" w:type="dxa"/>
            <w:right w:w="15" w:type="dxa"/>
          </w:tblCellMar>
        </w:tblPrEx>
        <w:trPr>
          <w:trHeight w:val="240" w:hRule="atLeast"/>
          <w:tblHeader/>
        </w:trPr>
        <w:tc>
          <w:tcPr>
            <w:tcW w:w="34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普法内容</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普法对象</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普法目标</w:t>
            </w:r>
          </w:p>
        </w:tc>
        <w:tc>
          <w:tcPr>
            <w:tcW w:w="64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lang w:bidi="ar"/>
              </w:rPr>
              <w:t>具体举措</w:t>
            </w:r>
          </w:p>
        </w:tc>
      </w:tr>
      <w:tr>
        <w:tblPrEx>
          <w:tblLayout w:type="fixed"/>
          <w:tblCellMar>
            <w:top w:w="15" w:type="dxa"/>
            <w:left w:w="15" w:type="dxa"/>
            <w:bottom w:w="15" w:type="dxa"/>
            <w:right w:w="15" w:type="dxa"/>
          </w:tblCellMar>
        </w:tblPrEx>
        <w:trPr>
          <w:trHeight w:val="712" w:hRule="atLeast"/>
        </w:trPr>
        <w:tc>
          <w:tcPr>
            <w:tcW w:w="34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rPr>
              <w:t>重点宣传《刑法》《刑事诉讼法》《民事诉讼法》《行政诉讼法》《检察官法》及最高人民检察院制定的司法解释等与批捕、公诉、法律监督相关的法律法规。</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rPr>
              <w:t>1.社会公众</w:t>
            </w:r>
          </w:p>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rPr>
              <w:t>2.案件当事人、律师和诉讼代理人，以及民营企业从业者、中小学校师生、基层“两委”干部等</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rPr>
              <w:t>提高案件当事人和社会公众法治意识；引导机关广大工作人员自觉遵纪守法、严格执法司法。</w:t>
            </w:r>
          </w:p>
        </w:tc>
        <w:tc>
          <w:tcPr>
            <w:tcW w:w="64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rPr>
              <w:t>1.组织旁听庭审、参观廉政教育基地、剖析典型案例、观看警示教育片。</w:t>
            </w:r>
          </w:p>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rPr>
              <w:t>2.把普法融入执法司法全过程，严格落实文书说理制度，加强典型案例公布和宣传。</w:t>
            </w:r>
          </w:p>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rPr>
              <w:t>3.依托未成年人检察工作办公室的职能优势、法治副校长的专业优势和派驻镇（街）检察室的地缘优势，深入开展检察官“进机关、进企业、进学校、进农村、进社区、进场所”等法治“六进”活动，切实加强社会面宣传工作。</w:t>
            </w:r>
          </w:p>
        </w:tc>
      </w:tr>
      <w:tr>
        <w:tblPrEx>
          <w:tblLayout w:type="fixed"/>
          <w:tblCellMar>
            <w:top w:w="15" w:type="dxa"/>
            <w:left w:w="15" w:type="dxa"/>
            <w:bottom w:w="15" w:type="dxa"/>
            <w:right w:w="15" w:type="dxa"/>
          </w:tblCellMar>
        </w:tblPrEx>
        <w:trPr>
          <w:trHeight w:val="1373" w:hRule="atLeast"/>
        </w:trPr>
        <w:tc>
          <w:tcPr>
            <w:tcW w:w="34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rPr>
              <w:t>加强对认罪认罚从宽制度的宣传，提高认罪认罚从宽制度的适用率</w:t>
            </w:r>
            <w:r>
              <w:rPr>
                <w:rFonts w:hint="eastAsia" w:ascii="仿宋" w:hAnsi="仿宋" w:eastAsia="仿宋" w:cs="仿宋_GB2312"/>
                <w:color w:val="000000"/>
                <w:szCs w:val="21"/>
                <w:lang w:val="en-US" w:eastAsia="zh-CN"/>
              </w:rPr>
              <w:t>和成功率</w:t>
            </w:r>
            <w:r>
              <w:rPr>
                <w:rFonts w:hint="eastAsia" w:ascii="仿宋" w:hAnsi="仿宋" w:eastAsia="仿宋" w:cs="仿宋_GB2312"/>
                <w:color w:val="000000"/>
                <w:szCs w:val="21"/>
                <w:lang w:eastAsia="zh-CN"/>
              </w:rPr>
              <w:t>。</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_GB2312"/>
                <w:color w:val="000000"/>
                <w:szCs w:val="21"/>
              </w:rPr>
            </w:pPr>
            <w:r>
              <w:rPr>
                <w:rFonts w:hint="eastAsia" w:ascii="仿宋" w:hAnsi="仿宋" w:eastAsia="仿宋" w:cs="仿宋_GB2312"/>
                <w:color w:val="000000"/>
                <w:szCs w:val="21"/>
                <w:lang w:eastAsia="zh-CN"/>
              </w:rPr>
              <w:t>在押人员</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lang w:val="en-US" w:eastAsia="zh-CN"/>
              </w:rPr>
              <w:t>保障犯罪嫌疑人有充足的时间了解和学习该制度，提前思考是否选择适用，减少出现犯罪嫌疑人因了解不深入、心存顾虑而拒绝适用或者适用后又反悔撤回认罪认罚具结的情形，提高认罪认罚从宽制度的适用率和成功率。同时，凸显认罪认罚可得到从轻处罚的法律后果，从而鼓励犯罪嫌疑人自愿如实认罪、真诚悔罪认罚、积极改过自新。</w:t>
            </w:r>
          </w:p>
        </w:tc>
        <w:tc>
          <w:tcPr>
            <w:tcW w:w="64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1.联合刑事执行检察部门，将认罪认罚从宽制度纳入在押人员的日常学习内容。</w:t>
            </w:r>
          </w:p>
          <w:p>
            <w:pPr>
              <w:widowControl/>
              <w:spacing w:line="300" w:lineRule="exact"/>
              <w:textAlignment w:val="center"/>
              <w:rPr>
                <w:rFonts w:hint="default"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2.选择易于理解和接受的动画形式宣传认罪认罚从宽制度。</w:t>
            </w:r>
          </w:p>
          <w:p>
            <w:pPr>
              <w:widowControl/>
              <w:spacing w:line="300" w:lineRule="exact"/>
              <w:textAlignment w:val="center"/>
              <w:rPr>
                <w:rFonts w:hint="eastAsia" w:ascii="仿宋" w:hAnsi="仿宋" w:eastAsia="仿宋" w:cs="仿宋_GB2312"/>
                <w:color w:val="000000"/>
                <w:szCs w:val="21"/>
              </w:rPr>
            </w:pPr>
          </w:p>
        </w:tc>
      </w:tr>
      <w:tr>
        <w:tblPrEx>
          <w:tblLayout w:type="fixed"/>
          <w:tblCellMar>
            <w:top w:w="15" w:type="dxa"/>
            <w:left w:w="15" w:type="dxa"/>
            <w:bottom w:w="15" w:type="dxa"/>
            <w:right w:w="15" w:type="dxa"/>
          </w:tblCellMar>
        </w:tblPrEx>
        <w:trPr>
          <w:trHeight w:val="1373" w:hRule="atLeast"/>
        </w:trPr>
        <w:tc>
          <w:tcPr>
            <w:tcW w:w="34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lang w:eastAsia="zh-CN"/>
              </w:rPr>
              <w:t>针对社区服刑人员所触犯的罪名，结合真实案例有针对性地指出犯罪后需要承担的相应法律责任以及给社会、家庭带来的危害性。</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_GB2312"/>
                <w:color w:val="000000"/>
                <w:szCs w:val="21"/>
                <w:lang w:eastAsia="zh-CN"/>
              </w:rPr>
            </w:pPr>
            <w:r>
              <w:rPr>
                <w:rFonts w:hint="eastAsia" w:ascii="仿宋" w:hAnsi="仿宋" w:eastAsia="仿宋" w:cs="仿宋_GB2312"/>
                <w:color w:val="000000"/>
                <w:szCs w:val="21"/>
                <w:lang w:eastAsia="zh-CN"/>
              </w:rPr>
              <w:t>社矫人员</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提高社矫人员的法律意识，让社矫人员服从监督管理，积极学法、用法、守法。</w:t>
            </w:r>
          </w:p>
        </w:tc>
        <w:tc>
          <w:tcPr>
            <w:tcW w:w="64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1.训诫谈话，督促其认清身份，端正服刑态度，服从监管，积极进行社区矫正。</w:t>
            </w:r>
          </w:p>
          <w:p>
            <w:pPr>
              <w:widowControl/>
              <w:spacing w:line="300" w:lineRule="exact"/>
              <w:textAlignment w:val="center"/>
              <w:rPr>
                <w:rFonts w:hint="default"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2.联合司法所定期对社矫人员进行法治教育讲座和宣讲活动。</w:t>
            </w:r>
          </w:p>
          <w:p>
            <w:pPr>
              <w:widowControl/>
              <w:spacing w:line="300" w:lineRule="exact"/>
              <w:textAlignment w:val="center"/>
              <w:rPr>
                <w:rFonts w:hint="eastAsia" w:ascii="仿宋" w:hAnsi="仿宋" w:eastAsia="仿宋" w:cs="仿宋_GB2312"/>
                <w:color w:val="000000"/>
                <w:szCs w:val="21"/>
              </w:rPr>
            </w:pPr>
          </w:p>
        </w:tc>
      </w:tr>
      <w:tr>
        <w:tblPrEx>
          <w:tblLayout w:type="fixed"/>
          <w:tblCellMar>
            <w:top w:w="15" w:type="dxa"/>
            <w:left w:w="15" w:type="dxa"/>
            <w:bottom w:w="15" w:type="dxa"/>
            <w:right w:w="15" w:type="dxa"/>
          </w:tblCellMar>
        </w:tblPrEx>
        <w:trPr>
          <w:trHeight w:val="1373" w:hRule="atLeast"/>
        </w:trPr>
        <w:tc>
          <w:tcPr>
            <w:tcW w:w="344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lang w:eastAsia="zh-CN"/>
              </w:rPr>
            </w:pPr>
            <w:r>
              <w:rPr>
                <w:rFonts w:hint="eastAsia" w:ascii="仿宋" w:hAnsi="仿宋" w:eastAsia="仿宋" w:cs="仿宋_GB2312"/>
                <w:color w:val="000000"/>
                <w:szCs w:val="21"/>
                <w:lang w:eastAsia="zh-CN"/>
              </w:rPr>
              <w:t>重点宣传普及《国家赔偿法》《控告申诉工作条例》等控申相关的法律法规。</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_GB2312"/>
                <w:color w:val="000000"/>
                <w:szCs w:val="21"/>
                <w:lang w:eastAsia="zh-CN"/>
              </w:rPr>
            </w:pPr>
            <w:r>
              <w:rPr>
                <w:rFonts w:hint="eastAsia" w:ascii="仿宋" w:hAnsi="仿宋" w:eastAsia="仿宋" w:cs="仿宋_GB2312"/>
                <w:color w:val="000000"/>
                <w:szCs w:val="21"/>
                <w:lang w:eastAsia="zh-CN"/>
              </w:rPr>
              <w:t>来访涉诉群众</w:t>
            </w:r>
          </w:p>
        </w:tc>
        <w:tc>
          <w:tcPr>
            <w:tcW w:w="26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提高来访群众对信访工作法规政策的认识，充分保障信访人的合法权益。</w:t>
            </w:r>
          </w:p>
        </w:tc>
        <w:tc>
          <w:tcPr>
            <w:tcW w:w="64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rPr>
            </w:pPr>
            <w:r>
              <w:rPr>
                <w:rFonts w:hint="eastAsia" w:ascii="仿宋" w:hAnsi="仿宋" w:eastAsia="仿宋" w:cs="仿宋_GB2312"/>
                <w:color w:val="000000"/>
                <w:szCs w:val="21"/>
                <w:lang w:val="en-US" w:eastAsia="zh-CN"/>
              </w:rPr>
              <w:t>结合控告举报工作开展普法宣传，“以案释法”，进一步完善每周一天的检察长参与接访制度，引入值班律师参与化解矛盾纠纷。</w:t>
            </w:r>
          </w:p>
        </w:tc>
      </w:tr>
      <w:tr>
        <w:tblPrEx>
          <w:tblLayout w:type="fixed"/>
          <w:tblCellMar>
            <w:top w:w="15" w:type="dxa"/>
            <w:left w:w="15" w:type="dxa"/>
            <w:bottom w:w="15" w:type="dxa"/>
            <w:right w:w="15" w:type="dxa"/>
          </w:tblCellMar>
        </w:tblPrEx>
        <w:trPr>
          <w:trHeight w:val="1373" w:hRule="atLeast"/>
        </w:trPr>
        <w:tc>
          <w:tcPr>
            <w:tcW w:w="3444"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lang w:eastAsia="zh-CN"/>
              </w:rPr>
            </w:pPr>
            <w:r>
              <w:rPr>
                <w:rFonts w:hint="eastAsia" w:ascii="仿宋" w:hAnsi="仿宋" w:eastAsia="仿宋" w:cs="仿宋_GB2312"/>
                <w:color w:val="000000"/>
                <w:szCs w:val="21"/>
                <w:lang w:eastAsia="zh-CN"/>
              </w:rPr>
              <w:t>重点宣传普及《未成年人保护法》《预防未成年人犯罪法》等与未成年人检察业务相关的法律法规。</w:t>
            </w:r>
          </w:p>
        </w:tc>
        <w:tc>
          <w:tcPr>
            <w:tcW w:w="2085"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仿宋" w:hAnsi="仿宋" w:eastAsia="仿宋" w:cs="仿宋_GB2312"/>
                <w:color w:val="000000"/>
                <w:szCs w:val="21"/>
                <w:lang w:eastAsia="zh-CN"/>
              </w:rPr>
            </w:pPr>
            <w:r>
              <w:rPr>
                <w:rFonts w:hint="eastAsia" w:ascii="仿宋" w:hAnsi="仿宋" w:eastAsia="仿宋" w:cs="仿宋_GB2312"/>
                <w:color w:val="000000"/>
                <w:szCs w:val="21"/>
                <w:lang w:eastAsia="zh-CN"/>
              </w:rPr>
              <w:t>未成年人</w:t>
            </w:r>
          </w:p>
        </w:tc>
        <w:tc>
          <w:tcPr>
            <w:tcW w:w="2648"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关爱保护未成年人的健康成长，坚持“教育为主，惩罚为辅”的原则，牢记“教育、感化、挽救”的方针，积极发挥在未成年人思想道德建设中的作用，依托法治宣传方式建立健全学校、家庭、社会“三结合”教育网络。</w:t>
            </w:r>
          </w:p>
        </w:tc>
        <w:tc>
          <w:tcPr>
            <w:tcW w:w="6424"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textAlignment w:val="center"/>
              <w:rPr>
                <w:rFonts w:hint="eastAsia"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1.联合校园和社区进行主题宣传、系列宣传、深度宣传工作，开展法治副校长进校园巡讲、“送法进校园”、关爱留守儿童“快乐小周末”、“法治夏令营”和举办“携手关爱，共护明天”为主题的检察开放日活动。</w:t>
            </w:r>
          </w:p>
          <w:p>
            <w:pPr>
              <w:widowControl/>
              <w:spacing w:line="300" w:lineRule="exact"/>
              <w:textAlignment w:val="center"/>
              <w:rPr>
                <w:rFonts w:hint="eastAsia"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2.做好关于失足未成年人成长经历、犯罪原因、监护教育等背景情况的社会调查和社会帮教工作，预防和减少未成年人犯罪。</w:t>
            </w:r>
          </w:p>
          <w:p>
            <w:pPr>
              <w:widowControl/>
              <w:spacing w:line="300" w:lineRule="exact"/>
              <w:textAlignment w:val="center"/>
              <w:rPr>
                <w:rFonts w:hint="eastAsia"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3.以教育为主，惩罚为辅的工作原则，不仅面向未成年人进行法制宣传，还面向家长进行普法教育。</w:t>
            </w:r>
          </w:p>
          <w:p>
            <w:pPr>
              <w:widowControl/>
              <w:spacing w:line="300" w:lineRule="exact"/>
              <w:textAlignment w:val="center"/>
              <w:rPr>
                <w:rFonts w:hint="eastAsia"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4.联合邮政通过邮政公众号刊播“关爱未成年人，传递正能量”公益广告和相关法制宣传，以期实现公益广告线上线下双覆盖，通过潜移默化的作用进一步深化和扩大全社会关爱未成年人健康成长的宣传效应，着力形成有利于未成年人顺心健康的良好社会文化环境。</w:t>
            </w:r>
          </w:p>
        </w:tc>
      </w:tr>
    </w:tbl>
    <w:p>
      <w:pPr>
        <w:widowControl/>
        <w:spacing w:line="300" w:lineRule="exact"/>
        <w:textAlignment w:val="center"/>
        <w:rPr>
          <w:rFonts w:hint="eastAsia" w:ascii="仿宋" w:hAnsi="仿宋" w:eastAsia="仿宋" w:cs="仿宋_GB2312"/>
          <w:color w:val="000000"/>
          <w:szCs w:val="21"/>
        </w:rPr>
      </w:pPr>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B3CB3"/>
    <w:rsid w:val="37FF30DA"/>
    <w:rsid w:val="392D6E27"/>
    <w:rsid w:val="3E07347F"/>
    <w:rsid w:val="51B3663D"/>
    <w:rsid w:val="6F8B3C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91"/>
    <w:qFormat/>
    <w:uiPriority w:val="0"/>
    <w:rPr>
      <w:rFonts w:hint="eastAsia" w:ascii="方正小标宋简体" w:hAnsi="方正小标宋简体" w:eastAsia="方正小标宋简体" w:cs="方正小标宋简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2019-09-19T09:26:00Z</dcterms:created>
  <dc:creator>Administrator</dc:creator>
  <cp:lastModifiedBy>Administrator</cp:lastModifiedBy>
  <cp:lastPrinted>2019-09-19T09:34:00Z</cp:lastPrinted>
  <dcterms:modified xsi:type="dcterms:W3CDTF">2019-09-26T07:45:40Z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